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F8971" w14:textId="77777777" w:rsidR="00892D92" w:rsidRDefault="00892D92" w:rsidP="00445342"/>
    <w:p w14:paraId="404C7FDE" w14:textId="09D54843" w:rsidR="00087C6E" w:rsidRPr="00527924" w:rsidRDefault="00B723E6" w:rsidP="00892D92">
      <w:pPr>
        <w:spacing w:after="160" w:line="259" w:lineRule="auto"/>
      </w:pPr>
      <w:r>
        <w:t>January</w:t>
      </w:r>
      <w:r w:rsidR="00087C6E" w:rsidRPr="00527924">
        <w:t xml:space="preserve"> </w:t>
      </w:r>
      <w:r>
        <w:t>16</w:t>
      </w:r>
      <w:r w:rsidR="00087C6E" w:rsidRPr="00527924">
        <w:t>, 202</w:t>
      </w:r>
      <w:r>
        <w:t>4</w:t>
      </w:r>
    </w:p>
    <w:p w14:paraId="06EB4F55" w14:textId="77777777" w:rsidR="00087C6E" w:rsidRPr="00527924" w:rsidRDefault="00087C6E" w:rsidP="00445342"/>
    <w:p w14:paraId="109038E7" w14:textId="77777777" w:rsidR="00B83F2F" w:rsidRDefault="00087C6E" w:rsidP="00445342">
      <w:r w:rsidRPr="00527924">
        <w:t xml:space="preserve">Chiquita Brooks-LaSure </w:t>
      </w:r>
    </w:p>
    <w:p w14:paraId="06363EB0" w14:textId="77777777" w:rsidR="00B83F2F" w:rsidRDefault="00087C6E" w:rsidP="00445342">
      <w:r w:rsidRPr="00527924">
        <w:t xml:space="preserve">CMS </w:t>
      </w:r>
      <w:r>
        <w:t xml:space="preserve">Administrator </w:t>
      </w:r>
    </w:p>
    <w:p w14:paraId="6C443187" w14:textId="4722341E" w:rsidR="00087C6E" w:rsidRDefault="00087C6E" w:rsidP="00445342">
      <w:r>
        <w:t xml:space="preserve">Centers for Medicare &amp; Medicaid Services </w:t>
      </w:r>
    </w:p>
    <w:p w14:paraId="49FED489" w14:textId="77777777" w:rsidR="00087C6E" w:rsidRPr="005609AC" w:rsidRDefault="00087C6E" w:rsidP="00445342">
      <w:pPr>
        <w:rPr>
          <w:b/>
          <w:bCs/>
        </w:rPr>
      </w:pPr>
      <w:r w:rsidRPr="005609AC">
        <w:rPr>
          <w:b/>
          <w:bCs/>
        </w:rPr>
        <w:t xml:space="preserve">ATTN: Division of Practitioner Services, Potentially Misvalued Codes </w:t>
      </w:r>
    </w:p>
    <w:p w14:paraId="4C7284EC" w14:textId="77777777" w:rsidR="00C13D21" w:rsidRDefault="00087C6E" w:rsidP="00445342">
      <w:r>
        <w:t xml:space="preserve">7500 Security Blvd. </w:t>
      </w:r>
    </w:p>
    <w:p w14:paraId="521D8506" w14:textId="114CDACC" w:rsidR="00087C6E" w:rsidRDefault="00087C6E" w:rsidP="00445342">
      <w:r>
        <w:t xml:space="preserve">Baltimore, MD 21244 </w:t>
      </w:r>
    </w:p>
    <w:p w14:paraId="7B210502" w14:textId="77777777" w:rsidR="00087C6E" w:rsidRDefault="00087C6E" w:rsidP="00445342"/>
    <w:p w14:paraId="2FEB30CB" w14:textId="24E0C6A3" w:rsidR="00087C6E" w:rsidRDefault="00087C6E" w:rsidP="00445342">
      <w:r>
        <w:t>Re: Potentially Misvalued Codes:   Posterior spine osteotomies CPT 22210-22216</w:t>
      </w:r>
    </w:p>
    <w:p w14:paraId="2A0068B4" w14:textId="77777777" w:rsidR="00087C6E" w:rsidRDefault="00087C6E" w:rsidP="00087C6E"/>
    <w:p w14:paraId="326CEDDA" w14:textId="0926A1CE" w:rsidR="00087C6E" w:rsidRDefault="00CA57CA" w:rsidP="00087C6E">
      <w:pPr>
        <w:ind w:left="720"/>
      </w:pPr>
      <w:r>
        <w:t>22210 Osteotomy</w:t>
      </w:r>
      <w:r w:rsidR="00087C6E" w:rsidRPr="00822443">
        <w:t xml:space="preserve"> of spine, posterior or posterolateral approach, 1 vertebral segment; cervical</w:t>
      </w:r>
    </w:p>
    <w:p w14:paraId="17ED9A84" w14:textId="77777777" w:rsidR="00087C6E" w:rsidRDefault="00087C6E" w:rsidP="00087C6E">
      <w:pPr>
        <w:ind w:left="720"/>
      </w:pPr>
      <w:r>
        <w:t xml:space="preserve">22212 </w:t>
      </w:r>
      <w:r w:rsidRPr="00822443">
        <w:t>Osteotomy of spine, posterior or posterolateral approach, 1 vertebral segment; thoracic</w:t>
      </w:r>
    </w:p>
    <w:p w14:paraId="114D7706" w14:textId="77777777" w:rsidR="00087C6E" w:rsidRDefault="00087C6E" w:rsidP="00087C6E">
      <w:pPr>
        <w:ind w:left="720"/>
      </w:pPr>
      <w:r>
        <w:t xml:space="preserve">22214 </w:t>
      </w:r>
      <w:r w:rsidRPr="00822443">
        <w:t>Osteotomy of spine, posterior or posterolateral approach, 1 vertebral segment; lumbar</w:t>
      </w:r>
    </w:p>
    <w:p w14:paraId="63DBD614" w14:textId="77777777" w:rsidR="00087C6E" w:rsidRDefault="00087C6E" w:rsidP="00087C6E">
      <w:pPr>
        <w:ind w:left="720"/>
      </w:pPr>
      <w:r>
        <w:t xml:space="preserve">22216 </w:t>
      </w:r>
      <w:r w:rsidRPr="00822443">
        <w:t>Osteotomy of spine, posterior or posterolateral approach, 1 vertebral segment; each additional vertebral segment (List separately in addition to primary procedure)</w:t>
      </w:r>
    </w:p>
    <w:p w14:paraId="77B0B2FB" w14:textId="77777777" w:rsidR="00087C6E" w:rsidRDefault="00087C6E" w:rsidP="00445342"/>
    <w:p w14:paraId="39EFBE5A" w14:textId="79EBED60" w:rsidR="00087C6E" w:rsidRDefault="00087C6E" w:rsidP="00445342">
      <w:r>
        <w:t xml:space="preserve">Submitted electronically via </w:t>
      </w:r>
      <w:hyperlink r:id="rId7" w:history="1">
        <w:r w:rsidRPr="00651A09">
          <w:rPr>
            <w:rStyle w:val="Hyperlink"/>
          </w:rPr>
          <w:t>MedicarePhysicianFeeSchedule@cms.hhs.gov</w:t>
        </w:r>
      </w:hyperlink>
      <w:r>
        <w:t xml:space="preserve">. </w:t>
      </w:r>
    </w:p>
    <w:p w14:paraId="3DE85416" w14:textId="77777777" w:rsidR="00087C6E" w:rsidRDefault="00087C6E" w:rsidP="00445342"/>
    <w:p w14:paraId="198F30AE" w14:textId="6AFE6EAA" w:rsidR="00822443" w:rsidRDefault="00087C6E" w:rsidP="00445342">
      <w:r>
        <w:t>Dear Administrator Brooks-LaSure,</w:t>
      </w:r>
    </w:p>
    <w:p w14:paraId="4B3B147B" w14:textId="77777777" w:rsidR="00D62622" w:rsidRDefault="00D62622" w:rsidP="00445342"/>
    <w:p w14:paraId="1790F1AB" w14:textId="35F0F4A7" w:rsidR="006C6BAC" w:rsidRDefault="00310E66" w:rsidP="00445342">
      <w:r>
        <w:t>We</w:t>
      </w:r>
      <w:r w:rsidR="00445342">
        <w:t xml:space="preserve"> </w:t>
      </w:r>
      <w:r>
        <w:t>are</w:t>
      </w:r>
      <w:r w:rsidR="00445342">
        <w:t xml:space="preserve"> writing to nominate a family of </w:t>
      </w:r>
      <w:r w:rsidR="00D62622">
        <w:t xml:space="preserve">potentially misvalued </w:t>
      </w:r>
      <w:r w:rsidR="00445342">
        <w:t xml:space="preserve">CPT codes </w:t>
      </w:r>
      <w:r w:rsidR="001306BF">
        <w:t>(</w:t>
      </w:r>
      <w:r w:rsidR="00445342">
        <w:t xml:space="preserve">posterior spine </w:t>
      </w:r>
      <w:proofErr w:type="gramStart"/>
      <w:r w:rsidR="00445342">
        <w:t>osteotomy  22210</w:t>
      </w:r>
      <w:proofErr w:type="gramEnd"/>
      <w:r w:rsidR="00445342">
        <w:t xml:space="preserve">-22216) </w:t>
      </w:r>
      <w:r w:rsidR="00D62622">
        <w:t xml:space="preserve">for </w:t>
      </w:r>
      <w:r w:rsidR="00822443">
        <w:t>review</w:t>
      </w:r>
      <w:r w:rsidR="00527924">
        <w:t>.  This request focuses on the most common type</w:t>
      </w:r>
      <w:r w:rsidR="00244B3C">
        <w:t xml:space="preserve"> of osteotomy</w:t>
      </w:r>
      <w:r w:rsidR="00527924">
        <w:t xml:space="preserve"> and does not address other types of </w:t>
      </w:r>
      <w:proofErr w:type="gramStart"/>
      <w:r w:rsidR="00527924">
        <w:t>osteotomy</w:t>
      </w:r>
      <w:proofErr w:type="gramEnd"/>
      <w:r w:rsidR="00527924">
        <w:t xml:space="preserve"> (pedicle subtraction/3 column osteotomy CPT 22206-</w:t>
      </w:r>
      <w:r w:rsidR="00D47E2E">
        <w:t>22208 or</w:t>
      </w:r>
      <w:r w:rsidR="00527924">
        <w:t xml:space="preserve"> anterior osteotomies CPT 22220-22226</w:t>
      </w:r>
      <w:r w:rsidR="00E6697B">
        <w:t>)</w:t>
      </w:r>
      <w:r w:rsidR="00527924">
        <w:t xml:space="preserve">. </w:t>
      </w:r>
    </w:p>
    <w:p w14:paraId="766B876C" w14:textId="7CBB5811" w:rsidR="00B83F2F" w:rsidRDefault="00B83F2F" w:rsidP="00445342"/>
    <w:p w14:paraId="303BBC4A" w14:textId="5CE27EA3" w:rsidR="00445342" w:rsidRDefault="00310E66" w:rsidP="00445342">
      <w:r>
        <w:t>Two types of</w:t>
      </w:r>
      <w:r w:rsidR="00527924">
        <w:t xml:space="preserve"> osteotomies</w:t>
      </w:r>
      <w:r w:rsidR="000D353D">
        <w:t xml:space="preserve"> are</w:t>
      </w:r>
      <w:r>
        <w:t xml:space="preserve"> performed from a posterior approach.  </w:t>
      </w:r>
      <w:r w:rsidR="00527924">
        <w:t xml:space="preserve"> </w:t>
      </w:r>
      <w:r>
        <w:t>The most common type and the focus of this nomination is</w:t>
      </w:r>
      <w:r w:rsidR="00527924">
        <w:t xml:space="preserve"> also referred to as Ponte osteotomie</w:t>
      </w:r>
      <w:r w:rsidR="006C6BAC">
        <w:t xml:space="preserve">s </w:t>
      </w:r>
      <w:r w:rsidR="00542A8E">
        <w:t xml:space="preserve">(PONTE) </w:t>
      </w:r>
      <w:r w:rsidR="006C6BAC">
        <w:t xml:space="preserve">or </w:t>
      </w:r>
      <w:r w:rsidR="00527924">
        <w:t>Schwab II osteotomies</w:t>
      </w:r>
      <w:r w:rsidR="006C6BAC">
        <w:t xml:space="preserve"> </w:t>
      </w:r>
      <w:r w:rsidR="00E6697B">
        <w:t xml:space="preserve">(SCHWAB) </w:t>
      </w:r>
      <w:r w:rsidR="006C6BAC">
        <w:t>and Smith-Peterson by some</w:t>
      </w:r>
      <w:r w:rsidR="00527924">
        <w:t>.    The</w:t>
      </w:r>
      <w:r w:rsidR="001306BF">
        <w:t>y</w:t>
      </w:r>
      <w:r w:rsidR="00527924">
        <w:t xml:space="preserve"> require </w:t>
      </w:r>
      <w:r w:rsidR="00B83F2F">
        <w:t xml:space="preserve">bilateral </w:t>
      </w:r>
      <w:r w:rsidR="00527924">
        <w:t>removal o</w:t>
      </w:r>
      <w:r w:rsidR="00B83F2F">
        <w:t>f</w:t>
      </w:r>
      <w:r w:rsidR="00527924">
        <w:t xml:space="preserve"> </w:t>
      </w:r>
      <w:r w:rsidR="00B83F2F">
        <w:t>the</w:t>
      </w:r>
      <w:r w:rsidR="001306BF">
        <w:t xml:space="preserve"> superior and inferior</w:t>
      </w:r>
      <w:r w:rsidR="00527924">
        <w:t xml:space="preserve"> facet joints, </w:t>
      </w:r>
      <w:r w:rsidR="001306BF">
        <w:t xml:space="preserve">interspinous ligament, </w:t>
      </w:r>
      <w:r w:rsidR="000D353D">
        <w:t>lamina,</w:t>
      </w:r>
      <w:r w:rsidR="00527924">
        <w:t xml:space="preserve"> and ligamentum flavum</w:t>
      </w:r>
      <w:r w:rsidR="001306BF">
        <w:t xml:space="preserve"> (LAUER, SCHWAB).  They </w:t>
      </w:r>
      <w:r w:rsidR="001938BC">
        <w:t>are</w:t>
      </w:r>
      <w:r w:rsidR="001306BF">
        <w:t xml:space="preserve"> </w:t>
      </w:r>
      <w:r w:rsidR="001938BC">
        <w:t>different</w:t>
      </w:r>
      <w:r w:rsidR="001306BF">
        <w:t xml:space="preserve"> from the Schwab I osteotom</w:t>
      </w:r>
      <w:r w:rsidR="001938BC">
        <w:t>ies</w:t>
      </w:r>
      <w:r w:rsidR="001306BF">
        <w:t xml:space="preserve"> which </w:t>
      </w:r>
      <w:r w:rsidR="006C6BAC">
        <w:t>only require</w:t>
      </w:r>
      <w:r w:rsidR="001306BF">
        <w:t xml:space="preserve"> soft tissue </w:t>
      </w:r>
      <w:r w:rsidR="00244B3C">
        <w:t>release</w:t>
      </w:r>
      <w:r>
        <w:t xml:space="preserve"> and partial facet excision</w:t>
      </w:r>
      <w:r w:rsidR="00244B3C">
        <w:t>,</w:t>
      </w:r>
      <w:r w:rsidR="001306BF">
        <w:t xml:space="preserve"> and which </w:t>
      </w:r>
      <w:r w:rsidR="001938BC">
        <w:t>are</w:t>
      </w:r>
      <w:r w:rsidR="001306BF">
        <w:t xml:space="preserve"> considered inclusive in the primary fusion procedure and not separately reportable (DEWALD).  </w:t>
      </w:r>
      <w:r w:rsidR="00E6697B">
        <w:t>They are also different from p</w:t>
      </w:r>
      <w:r w:rsidR="006C6BAC">
        <w:t>edicle subtraction osteotomies</w:t>
      </w:r>
      <w:r w:rsidR="00244B3C">
        <w:t xml:space="preserve"> (CPT 22206-22208) </w:t>
      </w:r>
      <w:r w:rsidR="00E6697B">
        <w:t xml:space="preserve">which </w:t>
      </w:r>
      <w:r>
        <w:t>are also performed from a posterior approach</w:t>
      </w:r>
      <w:r w:rsidR="00E6697B">
        <w:t>, are much less common than Ponte/Schwab II osteotomies</w:t>
      </w:r>
      <w:r>
        <w:t xml:space="preserve"> </w:t>
      </w:r>
      <w:r w:rsidR="00E6697B">
        <w:t xml:space="preserve">but </w:t>
      </w:r>
      <w:r w:rsidR="006C6BAC">
        <w:t xml:space="preserve">require </w:t>
      </w:r>
      <w:r w:rsidR="00E6697B">
        <w:t xml:space="preserve">more extensive tissue removal including </w:t>
      </w:r>
      <w:r w:rsidR="006C6BAC">
        <w:t>removal of the pedicle</w:t>
      </w:r>
      <w:r w:rsidR="00E30E9C">
        <w:t xml:space="preserve">s and part of the vertebral bodies in addition to the tissue removed as part of a </w:t>
      </w:r>
      <w:r>
        <w:t>Ponte</w:t>
      </w:r>
      <w:r w:rsidR="00E30E9C">
        <w:t xml:space="preserve"> osteotomy</w:t>
      </w:r>
      <w:r w:rsidR="006C6BAC">
        <w:t xml:space="preserve"> (DIEBO)</w:t>
      </w:r>
    </w:p>
    <w:p w14:paraId="7EB33B72" w14:textId="77777777" w:rsidR="00445342" w:rsidRDefault="00445342" w:rsidP="00445342"/>
    <w:p w14:paraId="3CFC7914" w14:textId="435388FB" w:rsidR="00445342" w:rsidRDefault="00445342" w:rsidP="00445342">
      <w:r>
        <w:t xml:space="preserve"> Rationale for mis</w:t>
      </w:r>
      <w:r w:rsidR="006B7511">
        <w:t>-</w:t>
      </w:r>
      <w:r>
        <w:t>valuation</w:t>
      </w:r>
    </w:p>
    <w:p w14:paraId="6005C983" w14:textId="77777777" w:rsidR="00087C6E" w:rsidRDefault="00087C6E" w:rsidP="00445342"/>
    <w:p w14:paraId="3CBDC710" w14:textId="49D7C8D9" w:rsidR="00445342" w:rsidRDefault="00445342" w:rsidP="00445342">
      <w:r>
        <w:t>#</w:t>
      </w:r>
      <w:r w:rsidR="00B723E6">
        <w:t>1 Incorrect</w:t>
      </w:r>
      <w:r>
        <w:t xml:space="preserve"> global period</w:t>
      </w:r>
    </w:p>
    <w:p w14:paraId="578A7FA3" w14:textId="603776AC" w:rsidR="00445342" w:rsidRDefault="00445342" w:rsidP="00445342">
      <w:r>
        <w:t xml:space="preserve">Posterior osteotomies </w:t>
      </w:r>
      <w:r w:rsidR="00087C6E">
        <w:t xml:space="preserve">were valued as </w:t>
      </w:r>
      <w:r w:rsidR="00D47E2E">
        <w:t>90-day</w:t>
      </w:r>
      <w:r w:rsidR="00087C6E">
        <w:t xml:space="preserve"> global services.  They </w:t>
      </w:r>
      <w:r>
        <w:t xml:space="preserve">are always performed </w:t>
      </w:r>
      <w:r w:rsidR="00B83F2F">
        <w:t>as an optional addition to a</w:t>
      </w:r>
      <w:r>
        <w:t xml:space="preserve"> spinal fusion and should be valued as add- on services and not as a </w:t>
      </w:r>
      <w:r w:rsidR="00D47E2E">
        <w:t>90-day</w:t>
      </w:r>
      <w:r>
        <w:t xml:space="preserve"> global </w:t>
      </w:r>
      <w:proofErr w:type="gramStart"/>
      <w:r>
        <w:t>service</w:t>
      </w:r>
      <w:proofErr w:type="gramEnd"/>
    </w:p>
    <w:p w14:paraId="3A311A00" w14:textId="77777777" w:rsidR="00087C6E" w:rsidRDefault="00087C6E" w:rsidP="00445342"/>
    <w:p w14:paraId="774F6D59" w14:textId="07935503" w:rsidR="00445342" w:rsidRDefault="00445342" w:rsidP="00445342">
      <w:r>
        <w:t>#2 Incorrect inpatient days.</w:t>
      </w:r>
    </w:p>
    <w:p w14:paraId="3D22E711" w14:textId="38D79894" w:rsidR="00445342" w:rsidRDefault="00445342" w:rsidP="00445342">
      <w:r>
        <w:lastRenderedPageBreak/>
        <w:t xml:space="preserve">22210-22214 </w:t>
      </w:r>
      <w:r w:rsidR="00B83F2F">
        <w:t xml:space="preserve">were valued by the RUC in 1995 and </w:t>
      </w:r>
      <w:r>
        <w:t xml:space="preserve">each have 7 inpatient days and a full discharge day.  Practice has changed </w:t>
      </w:r>
      <w:r w:rsidR="00596448">
        <w:t xml:space="preserve">since these codes were valued </w:t>
      </w:r>
      <w:r>
        <w:t xml:space="preserve">and this length of stay is </w:t>
      </w:r>
      <w:r w:rsidR="00B723E6">
        <w:t>no longer</w:t>
      </w:r>
      <w:r>
        <w:t xml:space="preserve"> correct.  </w:t>
      </w:r>
      <w:r w:rsidR="001306BF">
        <w:t>Average hospital stay for scoliosis fusion with osteotomy is currently 4-5 days (HALANSKI, FLOCARRI, BUCKLAND)</w:t>
      </w:r>
    </w:p>
    <w:p w14:paraId="70064066" w14:textId="77777777" w:rsidR="00087C6E" w:rsidRDefault="00087C6E" w:rsidP="00445342"/>
    <w:p w14:paraId="7F075B34" w14:textId="21E1B9CD" w:rsidR="00445342" w:rsidRDefault="00445342" w:rsidP="00445342">
      <w:r>
        <w:t>#</w:t>
      </w:r>
      <w:r w:rsidR="00B723E6">
        <w:t>3 Incorrect</w:t>
      </w:r>
      <w:r>
        <w:t xml:space="preserve"> </w:t>
      </w:r>
      <w:r w:rsidR="00596448">
        <w:t xml:space="preserve">Intraservice </w:t>
      </w:r>
      <w:r>
        <w:t xml:space="preserve">work </w:t>
      </w:r>
      <w:r w:rsidR="00496D33">
        <w:t>description.</w:t>
      </w:r>
    </w:p>
    <w:p w14:paraId="0695872F" w14:textId="6D527953" w:rsidR="00596448" w:rsidRDefault="00445342" w:rsidP="00445342">
      <w:r>
        <w:t>The intra service work description for 22216</w:t>
      </w:r>
      <w:r w:rsidR="00B83F2F">
        <w:t xml:space="preserve"> (there is none for 22210-22214)</w:t>
      </w:r>
      <w:r>
        <w:t xml:space="preserve"> </w:t>
      </w:r>
      <w:r w:rsidR="00596448">
        <w:t>describes</w:t>
      </w:r>
      <w:r>
        <w:t xml:space="preserve"> removal of </w:t>
      </w:r>
      <w:r w:rsidR="009403D9">
        <w:t xml:space="preserve">the </w:t>
      </w:r>
      <w:r>
        <w:t xml:space="preserve">pedicle which is not a typical part of a </w:t>
      </w:r>
      <w:r w:rsidR="009403D9">
        <w:t xml:space="preserve">Ponte/Schwab II </w:t>
      </w:r>
      <w:r>
        <w:t xml:space="preserve">osteotomy.   </w:t>
      </w:r>
    </w:p>
    <w:p w14:paraId="27914389" w14:textId="3DEC6C68" w:rsidR="00596448" w:rsidRPr="00596448" w:rsidRDefault="00596448" w:rsidP="00596448">
      <w:pPr>
        <w:ind w:left="720"/>
        <w:rPr>
          <w:i/>
          <w:iCs/>
        </w:rPr>
      </w:pPr>
      <w:r>
        <w:rPr>
          <w:i/>
          <w:iCs/>
        </w:rPr>
        <w:t>“</w:t>
      </w:r>
      <w:r w:rsidRPr="00596448">
        <w:rPr>
          <w:i/>
          <w:iCs/>
        </w:rPr>
        <w:t xml:space="preserve">Intra-service </w:t>
      </w:r>
      <w:proofErr w:type="gramStart"/>
      <w:r w:rsidRPr="00596448">
        <w:rPr>
          <w:i/>
          <w:iCs/>
        </w:rPr>
        <w:t>includes:</w:t>
      </w:r>
      <w:proofErr w:type="gramEnd"/>
      <w:r w:rsidRPr="00596448">
        <w:rPr>
          <w:i/>
          <w:iCs/>
        </w:rPr>
        <w:t xml:space="preserve"> Skin, muscle, and fascial incisions are extended to provide adequate exposure for an additional </w:t>
      </w:r>
      <w:r w:rsidR="00B723E6" w:rsidRPr="00596448">
        <w:rPr>
          <w:i/>
          <w:iCs/>
        </w:rPr>
        <w:t>osteotomy; the</w:t>
      </w:r>
      <w:r w:rsidRPr="00596448">
        <w:rPr>
          <w:i/>
          <w:iCs/>
        </w:rPr>
        <w:t xml:space="preserve"> spinous process and lamina of the central vertebra of the area for additional osteotomy are </w:t>
      </w:r>
      <w:r w:rsidR="00D47E2E" w:rsidRPr="00596448">
        <w:rPr>
          <w:i/>
          <w:iCs/>
        </w:rPr>
        <w:t>removed; facets</w:t>
      </w:r>
      <w:r w:rsidRPr="009A1C58">
        <w:rPr>
          <w:b/>
          <w:bCs/>
          <w:i/>
          <w:iCs/>
          <w:u w:val="single"/>
        </w:rPr>
        <w:t>, pedicles</w:t>
      </w:r>
      <w:r w:rsidRPr="00596448">
        <w:rPr>
          <w:i/>
          <w:iCs/>
        </w:rPr>
        <w:t>, and lateral bone are removed to protect the nerve roots and the laminae above and below are undercut to protect the dura and central neural elements</w:t>
      </w:r>
      <w:r>
        <w:rPr>
          <w:i/>
          <w:iCs/>
        </w:rPr>
        <w:t>”</w:t>
      </w:r>
      <w:r w:rsidRPr="00596448">
        <w:rPr>
          <w:i/>
          <w:iCs/>
        </w:rPr>
        <w:t>.</w:t>
      </w:r>
    </w:p>
    <w:p w14:paraId="5842C689" w14:textId="350937C8" w:rsidR="00445342" w:rsidRDefault="009A1C58" w:rsidP="00445342">
      <w:r>
        <w:t xml:space="preserve">Pedicle removal is part of the family of </w:t>
      </w:r>
      <w:r w:rsidR="00445342">
        <w:t>pedicle subtraction osteotomy (22206-22208)</w:t>
      </w:r>
    </w:p>
    <w:p w14:paraId="509188B8" w14:textId="77777777" w:rsidR="009A1C58" w:rsidRDefault="00445342" w:rsidP="00445342">
      <w:r>
        <w:t xml:space="preserve"> </w:t>
      </w:r>
    </w:p>
    <w:p w14:paraId="14C75E4C" w14:textId="029B339F" w:rsidR="00445342" w:rsidRDefault="00445342" w:rsidP="00445342">
      <w:r>
        <w:t>#4   intraservice times are overvalued.   A typical scoliosis fusion in a child might occur from T3-L</w:t>
      </w:r>
      <w:r w:rsidR="00B723E6">
        <w:t>4 and</w:t>
      </w:r>
      <w:r>
        <w:t xml:space="preserve"> might include </w:t>
      </w:r>
      <w:r w:rsidR="009A1C58">
        <w:t>5</w:t>
      </w:r>
      <w:r>
        <w:t xml:space="preserve"> levels of osteotomy and would be reported with:</w:t>
      </w:r>
    </w:p>
    <w:p w14:paraId="3F794BFF" w14:textId="0D14CDC6" w:rsidR="00445342" w:rsidRDefault="00445342" w:rsidP="00445342">
      <w:r>
        <w:tab/>
      </w:r>
      <w:r>
        <w:tab/>
      </w:r>
      <w:r>
        <w:tab/>
      </w:r>
      <w:r w:rsidR="006B715D">
        <w:t xml:space="preserve">         </w:t>
      </w:r>
      <w:r>
        <w:t xml:space="preserve"> Intra service time</w:t>
      </w:r>
    </w:p>
    <w:p w14:paraId="2B654CEE" w14:textId="617F95DB" w:rsidR="00445342" w:rsidRDefault="00445342" w:rsidP="00445342">
      <w:r>
        <w:tab/>
        <w:t xml:space="preserve">22804 </w:t>
      </w:r>
      <w:r>
        <w:tab/>
      </w:r>
      <w:r>
        <w:tab/>
      </w:r>
      <w:r w:rsidR="009A1C58">
        <w:tab/>
      </w:r>
      <w:r>
        <w:t>240 minutes</w:t>
      </w:r>
    </w:p>
    <w:p w14:paraId="68451163" w14:textId="77777777" w:rsidR="00445342" w:rsidRDefault="00445342" w:rsidP="00445342">
      <w:r>
        <w:tab/>
        <w:t>22844</w:t>
      </w:r>
      <w:r>
        <w:tab/>
      </w:r>
      <w:r>
        <w:tab/>
      </w:r>
      <w:r>
        <w:tab/>
        <w:t>150 minutes</w:t>
      </w:r>
    </w:p>
    <w:p w14:paraId="3CB8F562" w14:textId="77777777" w:rsidR="00445342" w:rsidRDefault="00445342" w:rsidP="00445342">
      <w:r>
        <w:tab/>
        <w:t>22214</w:t>
      </w:r>
      <w:r>
        <w:tab/>
      </w:r>
      <w:r>
        <w:tab/>
      </w:r>
      <w:r>
        <w:tab/>
        <w:t>210 minutes</w:t>
      </w:r>
    </w:p>
    <w:p w14:paraId="1EAA7217" w14:textId="5675D2CC" w:rsidR="00445342" w:rsidRDefault="00445342" w:rsidP="00445342">
      <w:r>
        <w:tab/>
        <w:t>22216x</w:t>
      </w:r>
      <w:r w:rsidR="009A1C58">
        <w:t>4</w:t>
      </w:r>
      <w:r>
        <w:tab/>
      </w:r>
      <w:r>
        <w:tab/>
      </w:r>
      <w:r w:rsidR="00B83F2F">
        <w:t>2</w:t>
      </w:r>
      <w:r w:rsidR="009A1C58">
        <w:t>40</w:t>
      </w:r>
      <w:r>
        <w:t xml:space="preserve"> minutes (60x</w:t>
      </w:r>
      <w:r w:rsidR="009A1C58">
        <w:t>4</w:t>
      </w:r>
      <w:r>
        <w:t>)</w:t>
      </w:r>
    </w:p>
    <w:p w14:paraId="0BE7ACC2" w14:textId="1323CEF8" w:rsidR="00445342" w:rsidRDefault="00445342" w:rsidP="00445342">
      <w:pPr>
        <w:rPr>
          <w:b/>
          <w:bCs/>
        </w:rPr>
      </w:pPr>
      <w:r>
        <w:tab/>
      </w:r>
      <w:r>
        <w:rPr>
          <w:b/>
          <w:bCs/>
        </w:rPr>
        <w:t xml:space="preserve">               TOTAL </w:t>
      </w:r>
      <w:r>
        <w:rPr>
          <w:b/>
          <w:bCs/>
        </w:rPr>
        <w:tab/>
      </w:r>
      <w:r w:rsidR="00B83F2F">
        <w:rPr>
          <w:b/>
          <w:bCs/>
        </w:rPr>
        <w:t>84</w:t>
      </w:r>
      <w:r>
        <w:rPr>
          <w:b/>
          <w:bCs/>
        </w:rPr>
        <w:t xml:space="preserve">0 minutes = </w:t>
      </w:r>
      <w:r w:rsidR="00D47E2E">
        <w:rPr>
          <w:b/>
          <w:bCs/>
        </w:rPr>
        <w:t>14 hours</w:t>
      </w:r>
    </w:p>
    <w:p w14:paraId="48769306" w14:textId="466553DC" w:rsidR="009A1C58" w:rsidRDefault="00445342" w:rsidP="00445342">
      <w:r>
        <w:t xml:space="preserve">Typical pediatric </w:t>
      </w:r>
      <w:r w:rsidR="009403D9">
        <w:t>scoliosis surgery</w:t>
      </w:r>
      <w:r>
        <w:t xml:space="preserve"> does not take </w:t>
      </w:r>
      <w:r w:rsidR="009A1C58">
        <w:t>1</w:t>
      </w:r>
      <w:r w:rsidR="00993624">
        <w:t>4</w:t>
      </w:r>
      <w:r>
        <w:t xml:space="preserve"> hours.   </w:t>
      </w:r>
      <w:r w:rsidR="009A1C58">
        <w:t xml:space="preserve">Published total surgical times for scoliosis surgery (including fusion, </w:t>
      </w:r>
      <w:proofErr w:type="gramStart"/>
      <w:r w:rsidR="009A1C58">
        <w:t>osteotomies</w:t>
      </w:r>
      <w:proofErr w:type="gramEnd"/>
      <w:r w:rsidR="009A1C58">
        <w:t xml:space="preserve"> and instrumentation) reported in the literature average </w:t>
      </w:r>
      <w:r w:rsidR="001938BC">
        <w:t xml:space="preserve">a total of </w:t>
      </w:r>
      <w:r w:rsidR="006B715D">
        <w:t>278</w:t>
      </w:r>
      <w:r w:rsidR="009A1C58">
        <w:t xml:space="preserve"> minutes</w:t>
      </w:r>
      <w:r w:rsidR="006B715D">
        <w:t xml:space="preserve"> [4.66 hours]</w:t>
      </w:r>
      <w:r w:rsidR="009A1C58">
        <w:t xml:space="preserve"> (243-296 minutes) (</w:t>
      </w:r>
      <w:r w:rsidR="00244B3C">
        <w:t xml:space="preserve">Table 1.) </w:t>
      </w:r>
      <w:r w:rsidR="00B723E6">
        <w:t>(SAMDANI</w:t>
      </w:r>
      <w:r w:rsidR="009A1C58">
        <w:t>, FLOCARRI, BUCKLAND, PI</w:t>
      </w:r>
      <w:r w:rsidR="00496D33">
        <w:t>Z</w:t>
      </w:r>
      <w:r w:rsidR="009A1C58">
        <w:t>ONES, FENG)</w:t>
      </w:r>
    </w:p>
    <w:p w14:paraId="7B875414" w14:textId="77777777" w:rsidR="00DA7DD9" w:rsidRDefault="00DA7DD9" w:rsidP="00445342"/>
    <w:p w14:paraId="7AF72925" w14:textId="48FF201D" w:rsidR="00DA7DD9" w:rsidRDefault="00445342" w:rsidP="00445342">
      <w:r>
        <w:t>The</w:t>
      </w:r>
      <w:r w:rsidR="00AF06B9">
        <w:t xml:space="preserve"> intraoperative time </w:t>
      </w:r>
      <w:r w:rsidR="00244B3C">
        <w:t>estimate</w:t>
      </w:r>
      <w:r w:rsidR="004553E1">
        <w:t>s are even greater</w:t>
      </w:r>
      <w:r>
        <w:t xml:space="preserve"> </w:t>
      </w:r>
      <w:r w:rsidR="004553E1">
        <w:t>for</w:t>
      </w:r>
      <w:r>
        <w:t xml:space="preserve"> adult </w:t>
      </w:r>
      <w:r w:rsidR="001938BC">
        <w:t xml:space="preserve">degenerative </w:t>
      </w:r>
      <w:r>
        <w:t>scoliosis surgery</w:t>
      </w:r>
      <w:r w:rsidR="00DA7DD9">
        <w:t xml:space="preserve">.  A T3-L4 fusion (13 levels) for degenerative scoliosis with two levels of decompression for stenosis and 4 </w:t>
      </w:r>
      <w:r w:rsidR="004D6A2D">
        <w:t xml:space="preserve">separate </w:t>
      </w:r>
      <w:r w:rsidR="00DA7DD9">
        <w:t>levels of ost</w:t>
      </w:r>
      <w:r w:rsidR="00AF06B9">
        <w:t>e</w:t>
      </w:r>
      <w:r w:rsidR="00DA7DD9">
        <w:t>o</w:t>
      </w:r>
      <w:r w:rsidR="00AF06B9">
        <w:t>t</w:t>
      </w:r>
      <w:r w:rsidR="00DA7DD9">
        <w:t>omy</w:t>
      </w:r>
      <w:r w:rsidR="004D6A2D">
        <w:t xml:space="preserve"> </w:t>
      </w:r>
      <w:r w:rsidR="00DA7DD9">
        <w:t xml:space="preserve"> for deformity </w:t>
      </w:r>
      <w:r w:rsidR="006C7693">
        <w:t>correction would</w:t>
      </w:r>
      <w:r w:rsidR="00DA7DD9">
        <w:t xml:space="preserve"> be reported with:</w:t>
      </w:r>
    </w:p>
    <w:p w14:paraId="68E11115" w14:textId="48B2207F" w:rsidR="004D6A2D" w:rsidRDefault="00DA7DD9" w:rsidP="004D6A2D">
      <w:r>
        <w:tab/>
      </w:r>
      <w:r>
        <w:tab/>
      </w:r>
      <w:r>
        <w:tab/>
      </w:r>
      <w:r>
        <w:tab/>
      </w:r>
      <w:r w:rsidR="004D6A2D">
        <w:tab/>
        <w:t>Intraservice time</w:t>
      </w:r>
    </w:p>
    <w:p w14:paraId="1D594173" w14:textId="2BDB6141" w:rsidR="004D6A2D" w:rsidRDefault="004D6A2D" w:rsidP="004D6A2D">
      <w:r>
        <w:tab/>
        <w:t>22804</w:t>
      </w:r>
      <w:r>
        <w:tab/>
      </w:r>
      <w:r>
        <w:tab/>
      </w:r>
      <w:r>
        <w:tab/>
      </w:r>
      <w:r>
        <w:tab/>
        <w:t>240</w:t>
      </w:r>
    </w:p>
    <w:p w14:paraId="0430A50F" w14:textId="77777777" w:rsidR="004D6A2D" w:rsidRDefault="004D6A2D" w:rsidP="004D6A2D">
      <w:pPr>
        <w:ind w:firstLine="720"/>
      </w:pPr>
      <w:r>
        <w:t>22844</w:t>
      </w:r>
      <w:r>
        <w:tab/>
      </w:r>
      <w:r>
        <w:tab/>
      </w:r>
      <w:r>
        <w:tab/>
      </w:r>
      <w:r>
        <w:tab/>
        <w:t>150</w:t>
      </w:r>
    </w:p>
    <w:p w14:paraId="5938E07A" w14:textId="77777777" w:rsidR="004D6A2D" w:rsidRDefault="004D6A2D" w:rsidP="004D6A2D">
      <w:r>
        <w:tab/>
        <w:t>63047</w:t>
      </w:r>
      <w:r>
        <w:tab/>
      </w:r>
      <w:r>
        <w:tab/>
      </w:r>
      <w:r>
        <w:tab/>
      </w:r>
      <w:proofErr w:type="gramStart"/>
      <w:r>
        <w:tab/>
        <w:t xml:space="preserve">  90</w:t>
      </w:r>
      <w:proofErr w:type="gramEnd"/>
    </w:p>
    <w:p w14:paraId="760892B7" w14:textId="77777777" w:rsidR="004D6A2D" w:rsidRDefault="004D6A2D" w:rsidP="004D6A2D">
      <w:r>
        <w:tab/>
        <w:t>63048x1</w:t>
      </w:r>
      <w:r>
        <w:tab/>
      </w:r>
      <w:r>
        <w:tab/>
      </w:r>
      <w:proofErr w:type="gramStart"/>
      <w:r>
        <w:tab/>
        <w:t xml:space="preserve">  45</w:t>
      </w:r>
      <w:proofErr w:type="gramEnd"/>
      <w:r>
        <w:tab/>
      </w:r>
      <w:r>
        <w:tab/>
      </w:r>
      <w:r>
        <w:tab/>
      </w:r>
      <w:r>
        <w:tab/>
      </w:r>
      <w:r>
        <w:tab/>
      </w:r>
      <w:r>
        <w:tab/>
      </w:r>
    </w:p>
    <w:p w14:paraId="41F173FC" w14:textId="77777777" w:rsidR="004D6A2D" w:rsidRDefault="004D6A2D" w:rsidP="004D6A2D">
      <w:r>
        <w:tab/>
        <w:t>22214</w:t>
      </w:r>
      <w:r>
        <w:tab/>
      </w:r>
      <w:r>
        <w:tab/>
      </w:r>
      <w:r>
        <w:tab/>
      </w:r>
      <w:r>
        <w:tab/>
        <w:t>210</w:t>
      </w:r>
    </w:p>
    <w:p w14:paraId="66FB6DFA" w14:textId="77777777" w:rsidR="004D6A2D" w:rsidRDefault="004D6A2D" w:rsidP="004D6A2D">
      <w:r>
        <w:tab/>
        <w:t>22216x3</w:t>
      </w:r>
      <w:r>
        <w:tab/>
      </w:r>
      <w:r>
        <w:tab/>
      </w:r>
      <w:r>
        <w:tab/>
        <w:t>180 (60x3)</w:t>
      </w:r>
    </w:p>
    <w:p w14:paraId="56B6EB15" w14:textId="30BBA2AB" w:rsidR="004D6A2D" w:rsidRDefault="004D6A2D" w:rsidP="004D6A2D">
      <w:pPr>
        <w:rPr>
          <w:b/>
          <w:bCs/>
        </w:rPr>
      </w:pPr>
      <w:r>
        <w:tab/>
      </w:r>
      <w:r>
        <w:tab/>
      </w:r>
      <w:r>
        <w:rPr>
          <w:b/>
          <w:bCs/>
        </w:rPr>
        <w:t xml:space="preserve">TOTAL      915 minutes= 15 </w:t>
      </w:r>
      <w:r w:rsidR="00D47E2E">
        <w:rPr>
          <w:b/>
          <w:bCs/>
        </w:rPr>
        <w:t>¼ hours</w:t>
      </w:r>
    </w:p>
    <w:p w14:paraId="4265679C" w14:textId="77777777" w:rsidR="004D6A2D" w:rsidRDefault="004D6A2D" w:rsidP="004D6A2D">
      <w:pPr>
        <w:ind w:left="720"/>
        <w:rPr>
          <w:b/>
          <w:bCs/>
        </w:rPr>
      </w:pPr>
    </w:p>
    <w:p w14:paraId="4744A37D" w14:textId="41E04F57" w:rsidR="004D6A2D" w:rsidRDefault="004D6A2D" w:rsidP="004D6A2D">
      <w:pPr>
        <w:ind w:left="720"/>
        <w:rPr>
          <w:b/>
          <w:bCs/>
        </w:rPr>
      </w:pPr>
      <w:r>
        <w:rPr>
          <w:b/>
          <w:bCs/>
        </w:rPr>
        <w:t>*</w:t>
      </w:r>
      <w:r w:rsidR="00D47E2E">
        <w:rPr>
          <w:b/>
          <w:bCs/>
        </w:rPr>
        <w:t>Some</w:t>
      </w:r>
      <w:r>
        <w:rPr>
          <w:b/>
          <w:bCs/>
        </w:rPr>
        <w:t xml:space="preserve"> would argue that deformity correction for adult degenerative scoliosis fusion should be reported with individual level fusion codes (22612 + 22614x 12) instead of 22804 (we disagree</w:t>
      </w:r>
      <w:r w:rsidR="00D47E2E">
        <w:rPr>
          <w:b/>
          <w:bCs/>
        </w:rPr>
        <w:t xml:space="preserve"> with this approach</w:t>
      </w:r>
      <w:r>
        <w:rPr>
          <w:b/>
          <w:bCs/>
        </w:rPr>
        <w:t>).  If so, then the fusion alone would take 630 minutes (150 + 40x12</w:t>
      </w:r>
      <w:r w:rsidR="00B723E6">
        <w:rPr>
          <w:b/>
          <w:bCs/>
        </w:rPr>
        <w:t>) instead</w:t>
      </w:r>
      <w:r>
        <w:rPr>
          <w:b/>
          <w:bCs/>
        </w:rPr>
        <w:t xml:space="preserve"> of 240 minutes with a total time of 1305 minutes = 21 ¾ hours. </w:t>
      </w:r>
    </w:p>
    <w:p w14:paraId="2BF74E95" w14:textId="2F40C7C1" w:rsidR="009A1C58" w:rsidRDefault="009A1C58" w:rsidP="004D6A2D"/>
    <w:p w14:paraId="2B6A2065" w14:textId="0D60DF58" w:rsidR="00BF0E49" w:rsidRDefault="00D1141F" w:rsidP="00445342">
      <w:r>
        <w:t xml:space="preserve">HALANSKI </w:t>
      </w:r>
      <w:r w:rsidR="00AF06B9">
        <w:t>reported</w:t>
      </w:r>
      <w:r>
        <w:t xml:space="preserve"> the </w:t>
      </w:r>
      <w:r w:rsidR="00AF06B9">
        <w:t>intraoperative</w:t>
      </w:r>
      <w:r>
        <w:t xml:space="preserve"> </w:t>
      </w:r>
      <w:r w:rsidRPr="006C7693">
        <w:rPr>
          <w:u w:val="single"/>
        </w:rPr>
        <w:t>time per level</w:t>
      </w:r>
      <w:r>
        <w:t xml:space="preserve"> for </w:t>
      </w:r>
      <w:r w:rsidR="00BF0E49">
        <w:t>patients</w:t>
      </w:r>
      <w:r>
        <w:t xml:space="preserve"> </w:t>
      </w:r>
      <w:r w:rsidR="00BF0E49">
        <w:t xml:space="preserve">undergoing scoliosis surgery both </w:t>
      </w:r>
      <w:r>
        <w:t>with</w:t>
      </w:r>
      <w:r w:rsidR="00AF06B9">
        <w:t xml:space="preserve"> and without a</w:t>
      </w:r>
      <w:r>
        <w:t xml:space="preserve"> Ponte </w:t>
      </w:r>
      <w:r w:rsidR="00D47E2E">
        <w:t>osteotomy.</w:t>
      </w:r>
      <w:r w:rsidR="00BF0E49">
        <w:t xml:space="preserve">  The time for fusion and instrumentation </w:t>
      </w:r>
      <w:r w:rsidR="005A2456">
        <w:t>without osteotomy</w:t>
      </w:r>
      <w:r w:rsidR="00BF0E49">
        <w:t xml:space="preserve"> was 23 minutes per level.  If osteotomies were performed the time was 31 minutes per level</w:t>
      </w:r>
      <w:r w:rsidR="00871EEA">
        <w:t xml:space="preserve">- 8 additional  minutes per level </w:t>
      </w:r>
      <w:r w:rsidR="005A2456">
        <w:t>for the</w:t>
      </w:r>
      <w:r w:rsidR="00871EEA">
        <w:t xml:space="preserve"> osteotomy</w:t>
      </w:r>
      <w:r w:rsidR="00244B3C">
        <w:t xml:space="preserve"> </w:t>
      </w:r>
    </w:p>
    <w:p w14:paraId="5CCA2EED" w14:textId="77777777" w:rsidR="00BF0E49" w:rsidRDefault="00BF0E49" w:rsidP="00445342"/>
    <w:p w14:paraId="7E636DC8" w14:textId="6F904269" w:rsidR="007F4854" w:rsidRDefault="00D80741" w:rsidP="00445342">
      <w:r>
        <w:t>Other authors have reported the total surgical times for patients treated with and without Ponte osteotomies</w:t>
      </w:r>
      <w:r w:rsidR="007F4854">
        <w:t xml:space="preserve"> (see Table 1)</w:t>
      </w:r>
      <w:r w:rsidR="00244B3C">
        <w:t>.</w:t>
      </w:r>
      <w:r w:rsidR="008422AB">
        <w:t xml:space="preserve"> The unweighted average total time without Ponte osteotomies was 261 minutes and 278 minutes with osteotomies</w:t>
      </w:r>
      <w:r w:rsidR="007E4F80">
        <w:t>- a difference of 17 minutes</w:t>
      </w:r>
      <w:r w:rsidR="007F4854">
        <w:t xml:space="preserve">.  An average of </w:t>
      </w:r>
      <w:r w:rsidR="00C13D21">
        <w:t>5.3</w:t>
      </w:r>
      <w:r w:rsidR="007F4854">
        <w:t xml:space="preserve"> osteotomies were performed per case for a</w:t>
      </w:r>
      <w:r w:rsidR="00B77E01">
        <w:t xml:space="preserve">n </w:t>
      </w:r>
      <w:r w:rsidR="00B77E01" w:rsidRPr="00B77E01">
        <w:rPr>
          <w:u w:val="single"/>
        </w:rPr>
        <w:t>average</w:t>
      </w:r>
      <w:r w:rsidR="007F4854" w:rsidRPr="00B77E01">
        <w:rPr>
          <w:u w:val="single"/>
        </w:rPr>
        <w:t xml:space="preserve"> time of 3.</w:t>
      </w:r>
      <w:r w:rsidR="00C13D21" w:rsidRPr="00B77E01">
        <w:rPr>
          <w:u w:val="single"/>
        </w:rPr>
        <w:t>6</w:t>
      </w:r>
      <w:r w:rsidR="007F4854" w:rsidRPr="00B77E01">
        <w:rPr>
          <w:u w:val="single"/>
        </w:rPr>
        <w:t xml:space="preserve"> minutes per osteotomy</w:t>
      </w:r>
      <w:r w:rsidR="006D590B">
        <w:t xml:space="preserve"> (</w:t>
      </w:r>
      <w:r w:rsidR="00E62791">
        <w:t>0.5</w:t>
      </w:r>
      <w:r w:rsidR="006D590B">
        <w:t xml:space="preserve"> minutes weighted average)</w:t>
      </w:r>
      <w:r w:rsidR="00C13D21">
        <w:t>.</w:t>
      </w:r>
    </w:p>
    <w:p w14:paraId="531ECFCE" w14:textId="77777777" w:rsidR="007F4854" w:rsidRDefault="007F4854" w:rsidP="00445342"/>
    <w:p w14:paraId="2458A72C" w14:textId="722B4908" w:rsidR="007F4854" w:rsidRDefault="007F4854" w:rsidP="00445342">
      <w:r>
        <w:t xml:space="preserve">Table 1. </w:t>
      </w:r>
    </w:p>
    <w:tbl>
      <w:tblPr>
        <w:tblStyle w:val="TableGrid"/>
        <w:tblW w:w="9535" w:type="dxa"/>
        <w:tblLook w:val="04A0" w:firstRow="1" w:lastRow="0" w:firstColumn="1" w:lastColumn="0" w:noHBand="0" w:noVBand="1"/>
      </w:tblPr>
      <w:tblGrid>
        <w:gridCol w:w="1631"/>
        <w:gridCol w:w="1604"/>
        <w:gridCol w:w="1604"/>
        <w:gridCol w:w="1715"/>
        <w:gridCol w:w="1541"/>
        <w:gridCol w:w="1440"/>
      </w:tblGrid>
      <w:tr w:rsidR="007F4854" w14:paraId="2BE218A4" w14:textId="0259FC5E" w:rsidTr="00CB7245">
        <w:tc>
          <w:tcPr>
            <w:tcW w:w="1631" w:type="dxa"/>
          </w:tcPr>
          <w:p w14:paraId="5A3CC833" w14:textId="7029947E" w:rsidR="007F4854" w:rsidRDefault="007F4854" w:rsidP="00A85352"/>
        </w:tc>
        <w:tc>
          <w:tcPr>
            <w:tcW w:w="1604" w:type="dxa"/>
          </w:tcPr>
          <w:p w14:paraId="68D92D1C" w14:textId="475157C2" w:rsidR="007F4854" w:rsidRDefault="007F4854" w:rsidP="00A85352">
            <w:r>
              <w:t>Total time without Ponte (min)</w:t>
            </w:r>
          </w:p>
        </w:tc>
        <w:tc>
          <w:tcPr>
            <w:tcW w:w="1604" w:type="dxa"/>
          </w:tcPr>
          <w:p w14:paraId="6EA4812E" w14:textId="563B8E6B" w:rsidR="007F4854" w:rsidRDefault="007F4854" w:rsidP="00A85352">
            <w:r>
              <w:t>Total time with Ponte (min)</w:t>
            </w:r>
          </w:p>
        </w:tc>
        <w:tc>
          <w:tcPr>
            <w:tcW w:w="1715" w:type="dxa"/>
          </w:tcPr>
          <w:p w14:paraId="37FCC523" w14:textId="1E50292A" w:rsidR="007F4854" w:rsidRDefault="001550D0" w:rsidP="00A85352">
            <w:r>
              <w:t xml:space="preserve">Total </w:t>
            </w:r>
            <w:r w:rsidR="007F4854">
              <w:t>Time difference with Ponte osteotomies</w:t>
            </w:r>
          </w:p>
        </w:tc>
        <w:tc>
          <w:tcPr>
            <w:tcW w:w="1541" w:type="dxa"/>
          </w:tcPr>
          <w:p w14:paraId="1A2F55B4" w14:textId="46D7BBD3" w:rsidR="007F4854" w:rsidRDefault="007F4854" w:rsidP="00A85352">
            <w:r>
              <w:t>Average number of osteotomies performed</w:t>
            </w:r>
          </w:p>
        </w:tc>
        <w:tc>
          <w:tcPr>
            <w:tcW w:w="1440" w:type="dxa"/>
          </w:tcPr>
          <w:p w14:paraId="77239A44" w14:textId="25CD8DB4" w:rsidR="007F4854" w:rsidRDefault="007F4854" w:rsidP="00A85352">
            <w:r>
              <w:t>Time per osteotomy</w:t>
            </w:r>
          </w:p>
        </w:tc>
      </w:tr>
      <w:tr w:rsidR="00F300F5" w14:paraId="7998AEB9" w14:textId="77777777" w:rsidTr="00CB7245">
        <w:tc>
          <w:tcPr>
            <w:tcW w:w="1631" w:type="dxa"/>
          </w:tcPr>
          <w:p w14:paraId="16096430" w14:textId="23E633B1" w:rsidR="00F300F5" w:rsidRDefault="00F300F5" w:rsidP="00A85352">
            <w:r>
              <w:t>Halinski</w:t>
            </w:r>
          </w:p>
        </w:tc>
        <w:tc>
          <w:tcPr>
            <w:tcW w:w="1604" w:type="dxa"/>
          </w:tcPr>
          <w:p w14:paraId="015552B1" w14:textId="50101DF4" w:rsidR="00F300F5" w:rsidRDefault="00F300F5" w:rsidP="00A85352"/>
        </w:tc>
        <w:tc>
          <w:tcPr>
            <w:tcW w:w="1604" w:type="dxa"/>
          </w:tcPr>
          <w:p w14:paraId="41520E31" w14:textId="155A0085" w:rsidR="00F300F5" w:rsidRDefault="002735B7" w:rsidP="00A85352">
            <w:r>
              <w:t xml:space="preserve">        (18 pt)</w:t>
            </w:r>
          </w:p>
        </w:tc>
        <w:tc>
          <w:tcPr>
            <w:tcW w:w="1715" w:type="dxa"/>
          </w:tcPr>
          <w:p w14:paraId="03F748FE" w14:textId="6CE7D7A3" w:rsidR="00F300F5" w:rsidRDefault="00F300F5" w:rsidP="00A85352"/>
        </w:tc>
        <w:tc>
          <w:tcPr>
            <w:tcW w:w="1541" w:type="dxa"/>
          </w:tcPr>
          <w:p w14:paraId="40B7F963" w14:textId="737C3FD3" w:rsidR="00F300F5" w:rsidRDefault="00F300F5" w:rsidP="00A85352">
            <w:r>
              <w:t>6.75</w:t>
            </w:r>
            <w:r w:rsidR="001D4F2F">
              <w:t>***</w:t>
            </w:r>
          </w:p>
        </w:tc>
        <w:tc>
          <w:tcPr>
            <w:tcW w:w="1440" w:type="dxa"/>
          </w:tcPr>
          <w:p w14:paraId="6CE71EE2" w14:textId="49BC17D9" w:rsidR="00F300F5" w:rsidRDefault="0018642A" w:rsidP="00A85352">
            <w:r>
              <w:t xml:space="preserve">   +</w:t>
            </w:r>
            <w:r w:rsidR="001550D0">
              <w:t>8 minutes</w:t>
            </w:r>
          </w:p>
        </w:tc>
      </w:tr>
      <w:tr w:rsidR="007F4854" w14:paraId="667EA1A1" w14:textId="36A2ACBE" w:rsidTr="00CB7245">
        <w:tc>
          <w:tcPr>
            <w:tcW w:w="1631" w:type="dxa"/>
          </w:tcPr>
          <w:p w14:paraId="1BD821D3" w14:textId="2ABB0F7C" w:rsidR="007F4854" w:rsidRDefault="007F4854" w:rsidP="00A85352">
            <w:proofErr w:type="spellStart"/>
            <w:r>
              <w:t>Sandani</w:t>
            </w:r>
            <w:proofErr w:type="spellEnd"/>
            <w:r>
              <w:t xml:space="preserve"> 2015</w:t>
            </w:r>
          </w:p>
        </w:tc>
        <w:tc>
          <w:tcPr>
            <w:tcW w:w="1604" w:type="dxa"/>
          </w:tcPr>
          <w:p w14:paraId="4D9651C0" w14:textId="4A7CF223" w:rsidR="007F4854" w:rsidRDefault="007F4854" w:rsidP="00A85352">
            <w:r>
              <w:t>295 (69 pt)</w:t>
            </w:r>
          </w:p>
        </w:tc>
        <w:tc>
          <w:tcPr>
            <w:tcW w:w="1604" w:type="dxa"/>
          </w:tcPr>
          <w:p w14:paraId="1ACB1223" w14:textId="7A464D8F" w:rsidR="007F4854" w:rsidRDefault="007F4854" w:rsidP="00A85352">
            <w:r>
              <w:t>278 (125 pt)</w:t>
            </w:r>
          </w:p>
        </w:tc>
        <w:tc>
          <w:tcPr>
            <w:tcW w:w="1715" w:type="dxa"/>
          </w:tcPr>
          <w:p w14:paraId="7B8384F4" w14:textId="692DBC98" w:rsidR="007F4854" w:rsidRDefault="007F4854" w:rsidP="00A85352">
            <w:r>
              <w:t>- 17 minutes</w:t>
            </w:r>
          </w:p>
        </w:tc>
        <w:tc>
          <w:tcPr>
            <w:tcW w:w="1541" w:type="dxa"/>
          </w:tcPr>
          <w:p w14:paraId="4BEFC272" w14:textId="5D4D6398" w:rsidR="007F4854" w:rsidRDefault="007F4854" w:rsidP="00A85352">
            <w:r>
              <w:t>4.3</w:t>
            </w:r>
          </w:p>
        </w:tc>
        <w:tc>
          <w:tcPr>
            <w:tcW w:w="1440" w:type="dxa"/>
          </w:tcPr>
          <w:p w14:paraId="7F908657" w14:textId="1E773230" w:rsidR="007F4854" w:rsidRDefault="007F4854" w:rsidP="00A85352">
            <w:r>
              <w:t>- 3.9</w:t>
            </w:r>
            <w:r w:rsidR="0018642A">
              <w:t xml:space="preserve"> minutes</w:t>
            </w:r>
          </w:p>
        </w:tc>
      </w:tr>
      <w:tr w:rsidR="007F4854" w14:paraId="0E7E40BA" w14:textId="6EC3FDF0" w:rsidTr="00CB7245">
        <w:tc>
          <w:tcPr>
            <w:tcW w:w="1631" w:type="dxa"/>
          </w:tcPr>
          <w:p w14:paraId="230B783B" w14:textId="3C6E76B5" w:rsidR="007F4854" w:rsidRDefault="007F4854" w:rsidP="00A85352">
            <w:proofErr w:type="spellStart"/>
            <w:r>
              <w:t>Flocarri</w:t>
            </w:r>
            <w:proofErr w:type="spellEnd"/>
            <w:r>
              <w:t xml:space="preserve"> 2021</w:t>
            </w:r>
          </w:p>
        </w:tc>
        <w:tc>
          <w:tcPr>
            <w:tcW w:w="1604" w:type="dxa"/>
          </w:tcPr>
          <w:p w14:paraId="0A1021A4" w14:textId="3C9910EF" w:rsidR="007F4854" w:rsidRDefault="007F4854" w:rsidP="00A85352">
            <w:r>
              <w:t>286 (34pt)</w:t>
            </w:r>
          </w:p>
        </w:tc>
        <w:tc>
          <w:tcPr>
            <w:tcW w:w="1604" w:type="dxa"/>
          </w:tcPr>
          <w:p w14:paraId="27E73884" w14:textId="56E6115F" w:rsidR="007F4854" w:rsidRDefault="007F4854" w:rsidP="00A85352">
            <w:r>
              <w:t>296 (34 pt)</w:t>
            </w:r>
          </w:p>
        </w:tc>
        <w:tc>
          <w:tcPr>
            <w:tcW w:w="1715" w:type="dxa"/>
          </w:tcPr>
          <w:p w14:paraId="6C6FF2AC" w14:textId="11940867" w:rsidR="007F4854" w:rsidRDefault="007F4854" w:rsidP="00A85352">
            <w:r>
              <w:t>+ 10 minutes</w:t>
            </w:r>
          </w:p>
        </w:tc>
        <w:tc>
          <w:tcPr>
            <w:tcW w:w="1541" w:type="dxa"/>
          </w:tcPr>
          <w:p w14:paraId="4443274C" w14:textId="331C87C4" w:rsidR="007F4854" w:rsidRDefault="007F4854" w:rsidP="00A85352">
            <w:r>
              <w:t>3.5</w:t>
            </w:r>
          </w:p>
        </w:tc>
        <w:tc>
          <w:tcPr>
            <w:tcW w:w="1440" w:type="dxa"/>
          </w:tcPr>
          <w:p w14:paraId="1DBD9EB5" w14:textId="3BA0CF45" w:rsidR="007F4854" w:rsidRDefault="007F4854" w:rsidP="00A85352">
            <w:r>
              <w:t>+2.8 minutes</w:t>
            </w:r>
          </w:p>
        </w:tc>
      </w:tr>
      <w:tr w:rsidR="007F4854" w14:paraId="786B7E52" w14:textId="295D5A91" w:rsidTr="00CB7245">
        <w:tc>
          <w:tcPr>
            <w:tcW w:w="1631" w:type="dxa"/>
          </w:tcPr>
          <w:p w14:paraId="1C85D12D" w14:textId="5363E566" w:rsidR="007F4854" w:rsidRDefault="007F4854" w:rsidP="00A85352">
            <w:r>
              <w:t>Buckland 2019</w:t>
            </w:r>
          </w:p>
        </w:tc>
        <w:tc>
          <w:tcPr>
            <w:tcW w:w="1604" w:type="dxa"/>
          </w:tcPr>
          <w:p w14:paraId="54B66843" w14:textId="468F3E69" w:rsidR="007F4854" w:rsidRDefault="007F4854" w:rsidP="00A85352">
            <w:r>
              <w:t>270 (599 pt)</w:t>
            </w:r>
          </w:p>
        </w:tc>
        <w:tc>
          <w:tcPr>
            <w:tcW w:w="1604" w:type="dxa"/>
          </w:tcPr>
          <w:p w14:paraId="74CAC607" w14:textId="23FDE1C4" w:rsidR="007F4854" w:rsidRDefault="007F4854" w:rsidP="00A85352">
            <w:r>
              <w:t>294 (1611 pt)</w:t>
            </w:r>
          </w:p>
        </w:tc>
        <w:tc>
          <w:tcPr>
            <w:tcW w:w="1715" w:type="dxa"/>
          </w:tcPr>
          <w:p w14:paraId="221BE5C4" w14:textId="3F654712" w:rsidR="007F4854" w:rsidRDefault="007F4854" w:rsidP="00A85352">
            <w:r>
              <w:t>+ 24 minutes</w:t>
            </w:r>
          </w:p>
        </w:tc>
        <w:tc>
          <w:tcPr>
            <w:tcW w:w="1541" w:type="dxa"/>
          </w:tcPr>
          <w:p w14:paraId="503A0410" w14:textId="03B7527E" w:rsidR="007F4854" w:rsidRDefault="007F4854" w:rsidP="00A85352">
            <w:r>
              <w:t>Not specified</w:t>
            </w:r>
          </w:p>
        </w:tc>
        <w:tc>
          <w:tcPr>
            <w:tcW w:w="1440" w:type="dxa"/>
          </w:tcPr>
          <w:p w14:paraId="234A6759" w14:textId="5F475FFB" w:rsidR="007F4854" w:rsidRDefault="007F4854" w:rsidP="00A85352"/>
        </w:tc>
      </w:tr>
      <w:tr w:rsidR="007F4854" w14:paraId="24CD3BB7" w14:textId="1F5E4191" w:rsidTr="00CB7245">
        <w:tc>
          <w:tcPr>
            <w:tcW w:w="1631" w:type="dxa"/>
          </w:tcPr>
          <w:p w14:paraId="56370747" w14:textId="126EC9DE" w:rsidR="007F4854" w:rsidRDefault="007F4854" w:rsidP="00A85352">
            <w:r>
              <w:t>Pizones 2015</w:t>
            </w:r>
          </w:p>
        </w:tc>
        <w:tc>
          <w:tcPr>
            <w:tcW w:w="1604" w:type="dxa"/>
          </w:tcPr>
          <w:p w14:paraId="181F00B1" w14:textId="2E0DE75A" w:rsidR="007F4854" w:rsidRDefault="007F4854" w:rsidP="00A85352">
            <w:r>
              <w:t>260 (30 pt)</w:t>
            </w:r>
          </w:p>
        </w:tc>
        <w:tc>
          <w:tcPr>
            <w:tcW w:w="1604" w:type="dxa"/>
          </w:tcPr>
          <w:p w14:paraId="786A4E3B" w14:textId="1CE22034" w:rsidR="007F4854" w:rsidRDefault="007F4854" w:rsidP="00A85352">
            <w:r>
              <w:t xml:space="preserve">280 (43 pt) </w:t>
            </w:r>
          </w:p>
        </w:tc>
        <w:tc>
          <w:tcPr>
            <w:tcW w:w="1715" w:type="dxa"/>
          </w:tcPr>
          <w:p w14:paraId="214815A9" w14:textId="0F5D0489" w:rsidR="007F4854" w:rsidRDefault="007F4854" w:rsidP="00A85352">
            <w:r>
              <w:t>+ 20 minutes</w:t>
            </w:r>
          </w:p>
        </w:tc>
        <w:tc>
          <w:tcPr>
            <w:tcW w:w="1541" w:type="dxa"/>
          </w:tcPr>
          <w:p w14:paraId="0245B6F0" w14:textId="59C204CF" w:rsidR="007F4854" w:rsidRDefault="007F4854" w:rsidP="00A85352">
            <w:r>
              <w:t>Approx 6*</w:t>
            </w:r>
          </w:p>
        </w:tc>
        <w:tc>
          <w:tcPr>
            <w:tcW w:w="1440" w:type="dxa"/>
          </w:tcPr>
          <w:p w14:paraId="6573C158" w14:textId="23F8BFBE" w:rsidR="007F4854" w:rsidRDefault="007F4854" w:rsidP="00A85352">
            <w:r>
              <w:t>+3.3 minutes</w:t>
            </w:r>
          </w:p>
        </w:tc>
      </w:tr>
      <w:tr w:rsidR="007F4854" w14:paraId="1BDD6B53" w14:textId="49932114" w:rsidTr="00CB7245">
        <w:tc>
          <w:tcPr>
            <w:tcW w:w="1631" w:type="dxa"/>
          </w:tcPr>
          <w:p w14:paraId="055608E1" w14:textId="7495FADA" w:rsidR="007F4854" w:rsidRDefault="007F4854" w:rsidP="00A85352">
            <w:r>
              <w:t>Feng 2018</w:t>
            </w:r>
          </w:p>
        </w:tc>
        <w:tc>
          <w:tcPr>
            <w:tcW w:w="1604" w:type="dxa"/>
          </w:tcPr>
          <w:p w14:paraId="509F4A39" w14:textId="73F03977" w:rsidR="007F4854" w:rsidRDefault="007F4854" w:rsidP="00A85352">
            <w:r>
              <w:t>196 (33 pt)</w:t>
            </w:r>
          </w:p>
        </w:tc>
        <w:tc>
          <w:tcPr>
            <w:tcW w:w="1604" w:type="dxa"/>
          </w:tcPr>
          <w:p w14:paraId="09EF462D" w14:textId="651C0380" w:rsidR="007F4854" w:rsidRDefault="007F4854" w:rsidP="00A85352">
            <w:r>
              <w:t>243 (32 pt)</w:t>
            </w:r>
          </w:p>
        </w:tc>
        <w:tc>
          <w:tcPr>
            <w:tcW w:w="1715" w:type="dxa"/>
          </w:tcPr>
          <w:p w14:paraId="3B63DB2E" w14:textId="07A2BC86" w:rsidR="007F4854" w:rsidRDefault="007F4854" w:rsidP="00A85352">
            <w:r>
              <w:t>+ 47 minutes</w:t>
            </w:r>
          </w:p>
        </w:tc>
        <w:tc>
          <w:tcPr>
            <w:tcW w:w="1541" w:type="dxa"/>
          </w:tcPr>
          <w:p w14:paraId="3F32930B" w14:textId="7BC55E95" w:rsidR="007F4854" w:rsidRDefault="007F4854" w:rsidP="00A85352">
            <w:r>
              <w:t>Approx. 6**</w:t>
            </w:r>
          </w:p>
        </w:tc>
        <w:tc>
          <w:tcPr>
            <w:tcW w:w="1440" w:type="dxa"/>
          </w:tcPr>
          <w:p w14:paraId="00DC3B59" w14:textId="4D7A27E4" w:rsidR="007F4854" w:rsidRDefault="007F4854" w:rsidP="00A85352">
            <w:r>
              <w:t>+7.8 minutes</w:t>
            </w:r>
          </w:p>
        </w:tc>
      </w:tr>
      <w:tr w:rsidR="007F4854" w14:paraId="76B0CB71" w14:textId="500F7745" w:rsidTr="00CB7245">
        <w:tc>
          <w:tcPr>
            <w:tcW w:w="1631" w:type="dxa"/>
          </w:tcPr>
          <w:p w14:paraId="4EDA0A72" w14:textId="77777777" w:rsidR="007F4854" w:rsidRDefault="007F4854" w:rsidP="00A85352"/>
        </w:tc>
        <w:tc>
          <w:tcPr>
            <w:tcW w:w="1604" w:type="dxa"/>
          </w:tcPr>
          <w:p w14:paraId="1DCF9E98" w14:textId="77777777" w:rsidR="007F4854" w:rsidRDefault="007F4854" w:rsidP="00A85352"/>
        </w:tc>
        <w:tc>
          <w:tcPr>
            <w:tcW w:w="1604" w:type="dxa"/>
          </w:tcPr>
          <w:p w14:paraId="4103E544" w14:textId="77777777" w:rsidR="007F4854" w:rsidRDefault="007F4854" w:rsidP="00A85352"/>
        </w:tc>
        <w:tc>
          <w:tcPr>
            <w:tcW w:w="1715" w:type="dxa"/>
          </w:tcPr>
          <w:p w14:paraId="4D7F3672" w14:textId="77777777" w:rsidR="007F4854" w:rsidRDefault="007F4854" w:rsidP="00A85352"/>
        </w:tc>
        <w:tc>
          <w:tcPr>
            <w:tcW w:w="1541" w:type="dxa"/>
          </w:tcPr>
          <w:p w14:paraId="3A0E5FD4" w14:textId="77777777" w:rsidR="007F4854" w:rsidRDefault="007F4854" w:rsidP="00A85352"/>
        </w:tc>
        <w:tc>
          <w:tcPr>
            <w:tcW w:w="1440" w:type="dxa"/>
          </w:tcPr>
          <w:p w14:paraId="24589DF7" w14:textId="123FF107" w:rsidR="007F4854" w:rsidRDefault="007F4854" w:rsidP="00A85352"/>
        </w:tc>
      </w:tr>
      <w:tr w:rsidR="007F4854" w14:paraId="75EAC233" w14:textId="73373AE6" w:rsidTr="00CB7245">
        <w:tc>
          <w:tcPr>
            <w:tcW w:w="1631" w:type="dxa"/>
          </w:tcPr>
          <w:p w14:paraId="5E945897" w14:textId="77777777" w:rsidR="007F4854" w:rsidRDefault="007F4854" w:rsidP="00A85352">
            <w:r>
              <w:t xml:space="preserve">Average </w:t>
            </w:r>
          </w:p>
          <w:p w14:paraId="695ED84D" w14:textId="6BFB70FD" w:rsidR="007F4854" w:rsidRDefault="007F4854" w:rsidP="00A85352">
            <w:r>
              <w:t>Weighted avg</w:t>
            </w:r>
          </w:p>
        </w:tc>
        <w:tc>
          <w:tcPr>
            <w:tcW w:w="1604" w:type="dxa"/>
          </w:tcPr>
          <w:p w14:paraId="046FE768" w14:textId="1EBC64D9" w:rsidR="007F4854" w:rsidRPr="00C13D21" w:rsidRDefault="00B723E6" w:rsidP="00A85352">
            <w:pPr>
              <w:rPr>
                <w:b/>
                <w:bCs/>
              </w:rPr>
            </w:pPr>
            <w:r w:rsidRPr="00C13D21">
              <w:rPr>
                <w:b/>
                <w:bCs/>
              </w:rPr>
              <w:t>261 minutes</w:t>
            </w:r>
          </w:p>
          <w:p w14:paraId="769CE7CC" w14:textId="14C40A45" w:rsidR="007F4854" w:rsidRDefault="007F4854" w:rsidP="00A85352">
            <w:r>
              <w:t>266 minutes</w:t>
            </w:r>
          </w:p>
        </w:tc>
        <w:tc>
          <w:tcPr>
            <w:tcW w:w="1604" w:type="dxa"/>
          </w:tcPr>
          <w:p w14:paraId="5CEE264E" w14:textId="77777777" w:rsidR="007F4854" w:rsidRPr="00C13D21" w:rsidRDefault="007F4854" w:rsidP="00A85352">
            <w:pPr>
              <w:rPr>
                <w:b/>
                <w:bCs/>
              </w:rPr>
            </w:pPr>
            <w:r w:rsidRPr="00C13D21">
              <w:rPr>
                <w:b/>
                <w:bCs/>
              </w:rPr>
              <w:t>278 minutes</w:t>
            </w:r>
          </w:p>
          <w:p w14:paraId="7C75778A" w14:textId="012ED782" w:rsidR="007F4854" w:rsidRDefault="007F4854" w:rsidP="00A85352">
            <w:r>
              <w:t>292 minutes</w:t>
            </w:r>
          </w:p>
        </w:tc>
        <w:tc>
          <w:tcPr>
            <w:tcW w:w="1715" w:type="dxa"/>
          </w:tcPr>
          <w:p w14:paraId="27035D84" w14:textId="77777777" w:rsidR="007F4854" w:rsidRDefault="007F4854" w:rsidP="00A85352">
            <w:r>
              <w:t>+ 17 minutes</w:t>
            </w:r>
          </w:p>
          <w:p w14:paraId="4177E1D8" w14:textId="2F548D90" w:rsidR="007F4854" w:rsidRDefault="007F4854" w:rsidP="00A85352">
            <w:r>
              <w:t>+ 26 minutes</w:t>
            </w:r>
          </w:p>
        </w:tc>
        <w:tc>
          <w:tcPr>
            <w:tcW w:w="1541" w:type="dxa"/>
          </w:tcPr>
          <w:p w14:paraId="223F966E" w14:textId="547F4B38" w:rsidR="007F4854" w:rsidRPr="00C13D21" w:rsidRDefault="001D4F2F" w:rsidP="00A85352">
            <w:pPr>
              <w:rPr>
                <w:b/>
                <w:bCs/>
              </w:rPr>
            </w:pPr>
            <w:r w:rsidRPr="00C13D21">
              <w:rPr>
                <w:b/>
                <w:bCs/>
              </w:rPr>
              <w:t>5.3</w:t>
            </w:r>
            <w:r w:rsidR="007F4854" w:rsidRPr="00C13D21">
              <w:rPr>
                <w:b/>
                <w:bCs/>
              </w:rPr>
              <w:t xml:space="preserve"> per case</w:t>
            </w:r>
          </w:p>
          <w:p w14:paraId="28B0895C" w14:textId="713C08BD" w:rsidR="00CB7245" w:rsidRDefault="0018642A" w:rsidP="00A85352">
            <w:r>
              <w:t>4.9per case</w:t>
            </w:r>
          </w:p>
        </w:tc>
        <w:tc>
          <w:tcPr>
            <w:tcW w:w="1440" w:type="dxa"/>
          </w:tcPr>
          <w:p w14:paraId="1E08EFF8" w14:textId="2F6CFC77" w:rsidR="001550D0" w:rsidRPr="00C13D21" w:rsidRDefault="007F4854" w:rsidP="001550D0">
            <w:pPr>
              <w:rPr>
                <w:b/>
                <w:bCs/>
              </w:rPr>
            </w:pPr>
            <w:r w:rsidRPr="00C13D21">
              <w:rPr>
                <w:b/>
                <w:bCs/>
              </w:rPr>
              <w:t>+3.</w:t>
            </w:r>
            <w:r w:rsidR="00C13D21" w:rsidRPr="00C13D21">
              <w:rPr>
                <w:b/>
                <w:bCs/>
              </w:rPr>
              <w:t>6</w:t>
            </w:r>
            <w:r w:rsidRPr="00C13D21">
              <w:rPr>
                <w:b/>
                <w:bCs/>
              </w:rPr>
              <w:t xml:space="preserve"> </w:t>
            </w:r>
            <w:r w:rsidR="00C13D21" w:rsidRPr="00C13D21">
              <w:rPr>
                <w:b/>
                <w:bCs/>
              </w:rPr>
              <w:t>minutes</w:t>
            </w:r>
          </w:p>
          <w:p w14:paraId="2F1FE6EC" w14:textId="74944608" w:rsidR="006D590B" w:rsidRDefault="0018642A" w:rsidP="00A85352">
            <w:r>
              <w:t>+0.5 minutes</w:t>
            </w:r>
          </w:p>
        </w:tc>
      </w:tr>
    </w:tbl>
    <w:p w14:paraId="0410B448" w14:textId="77777777" w:rsidR="008422AB" w:rsidRDefault="008422AB" w:rsidP="00445342"/>
    <w:p w14:paraId="61D2DED1" w14:textId="1D5E6599" w:rsidR="009A1C58" w:rsidRDefault="00A85352" w:rsidP="00A85352">
      <w:r>
        <w:t>*</w:t>
      </w:r>
      <w:r w:rsidR="007F4854">
        <w:t xml:space="preserve">PIZONES </w:t>
      </w:r>
      <w:r>
        <w:t xml:space="preserve">osteotomies performed at </w:t>
      </w:r>
      <w:r w:rsidR="007F4854">
        <w:t xml:space="preserve">all levels of deformity except upper and lower foundational </w:t>
      </w:r>
      <w:proofErr w:type="gramStart"/>
      <w:r w:rsidR="007F4854">
        <w:t xml:space="preserve">levels </w:t>
      </w:r>
      <w:r>
        <w:t xml:space="preserve"> (</w:t>
      </w:r>
      <w:proofErr w:type="gramEnd"/>
      <w:r>
        <w:t>est</w:t>
      </w:r>
      <w:r w:rsidR="007F4854">
        <w:t>imate</w:t>
      </w:r>
      <w:r>
        <w:t xml:space="preserve"> 6 per case)</w:t>
      </w:r>
    </w:p>
    <w:p w14:paraId="2910A6BA" w14:textId="4A09C8A5" w:rsidR="009A1C58" w:rsidRDefault="007F4854" w:rsidP="00445342">
      <w:r>
        <w:t>** FENG osteotomies performed at each segment of thoracic curve (estimate 6 per case)</w:t>
      </w:r>
    </w:p>
    <w:p w14:paraId="6B0B75A1" w14:textId="385D8E67" w:rsidR="007F4854" w:rsidRDefault="001D4F2F" w:rsidP="00445342">
      <w:r>
        <w:t>*** Halinski osteotomies performed at 75% of levels fused</w:t>
      </w:r>
    </w:p>
    <w:p w14:paraId="6AB7719C" w14:textId="77777777" w:rsidR="001D4F2F" w:rsidRDefault="001D4F2F" w:rsidP="00445342"/>
    <w:p w14:paraId="62EB65E8" w14:textId="085D38CB" w:rsidR="00445342" w:rsidRDefault="00445342" w:rsidP="00445342">
      <w:r>
        <w:t>#</w:t>
      </w:r>
      <w:r w:rsidR="00B723E6">
        <w:t>5 Surgical</w:t>
      </w:r>
      <w:r>
        <w:t xml:space="preserve"> practice has changed.</w:t>
      </w:r>
    </w:p>
    <w:p w14:paraId="57529A1B" w14:textId="62B3FA06" w:rsidR="005638DC" w:rsidRPr="00542A8E" w:rsidRDefault="00542A8E" w:rsidP="00445342">
      <w:pPr>
        <w:rPr>
          <w:rFonts w:eastAsia="Times New Roman"/>
        </w:rPr>
      </w:pPr>
      <w:r>
        <w:rPr>
          <w:rFonts w:eastAsia="Times New Roman"/>
        </w:rPr>
        <w:t>The osteotomy codes were valued by the RUC in 1995.  2</w:t>
      </w:r>
      <w:r w:rsidR="00F14BD7">
        <w:rPr>
          <w:rFonts w:eastAsia="Times New Roman"/>
        </w:rPr>
        <w:t>9</w:t>
      </w:r>
      <w:r>
        <w:rPr>
          <w:rFonts w:eastAsia="Times New Roman"/>
        </w:rPr>
        <w:t xml:space="preserve"> years </w:t>
      </w:r>
      <w:r w:rsidR="00D47E2E">
        <w:rPr>
          <w:rFonts w:eastAsia="Times New Roman"/>
        </w:rPr>
        <w:t>ago,</w:t>
      </w:r>
      <w:r>
        <w:rPr>
          <w:rFonts w:eastAsia="Times New Roman"/>
        </w:rPr>
        <w:t xml:space="preserve"> osteotomies were </w:t>
      </w:r>
      <w:r w:rsidR="00F14BD7">
        <w:rPr>
          <w:rFonts w:eastAsia="Times New Roman"/>
        </w:rPr>
        <w:t>rarely</w:t>
      </w:r>
      <w:r>
        <w:rPr>
          <w:rFonts w:eastAsia="Times New Roman"/>
        </w:rPr>
        <w:t xml:space="preserve"> performed </w:t>
      </w:r>
      <w:r w:rsidR="00F14BD7">
        <w:rPr>
          <w:rFonts w:eastAsia="Times New Roman"/>
        </w:rPr>
        <w:t xml:space="preserve">and were used </w:t>
      </w:r>
      <w:r>
        <w:rPr>
          <w:rFonts w:eastAsia="Times New Roman"/>
        </w:rPr>
        <w:t xml:space="preserve">to address totally ankylosed/fused spinal segments. </w:t>
      </w:r>
      <w:r w:rsidRPr="00F14BD7">
        <w:rPr>
          <w:rFonts w:eastAsia="Times New Roman"/>
          <w:color w:val="000000"/>
        </w:rPr>
        <w:t xml:space="preserve">The Ponte Osteotomy </w:t>
      </w:r>
      <w:r w:rsidR="00F14BD7" w:rsidRPr="00F14BD7">
        <w:rPr>
          <w:rFonts w:eastAsia="Times New Roman"/>
          <w:color w:val="000000"/>
        </w:rPr>
        <w:t>was</w:t>
      </w:r>
      <w:r w:rsidRPr="00F14BD7">
        <w:rPr>
          <w:rFonts w:eastAsia="Times New Roman"/>
          <w:color w:val="000000"/>
        </w:rPr>
        <w:t xml:space="preserve"> </w:t>
      </w:r>
      <w:r w:rsidR="00F14BD7" w:rsidRPr="00F14BD7">
        <w:rPr>
          <w:rFonts w:eastAsia="Times New Roman"/>
          <w:color w:val="000000"/>
        </w:rPr>
        <w:t>originally developed</w:t>
      </w:r>
      <w:r w:rsidRPr="00F14BD7">
        <w:rPr>
          <w:rFonts w:eastAsia="Times New Roman"/>
          <w:color w:val="000000"/>
        </w:rPr>
        <w:t xml:space="preserve"> for thoracic </w:t>
      </w:r>
      <w:proofErr w:type="spellStart"/>
      <w:r w:rsidRPr="00F14BD7">
        <w:rPr>
          <w:rFonts w:eastAsia="Times New Roman"/>
          <w:color w:val="000000"/>
        </w:rPr>
        <w:t>hyperkyphosis</w:t>
      </w:r>
      <w:proofErr w:type="spellEnd"/>
      <w:r w:rsidRPr="00F14BD7">
        <w:rPr>
          <w:rFonts w:eastAsia="Times New Roman"/>
          <w:color w:val="000000"/>
        </w:rPr>
        <w:t>. Dr. Ponte’s  average preoperative </w:t>
      </w:r>
      <w:hyperlink r:id="rId8" w:tooltip="Learn more about kyphosis from ScienceDirect's AI-generated Topic Pages" w:history="1">
        <w:r w:rsidRPr="00F14BD7">
          <w:rPr>
            <w:rStyle w:val="Hyperlink"/>
            <w:rFonts w:eastAsia="Times New Roman"/>
            <w:color w:val="auto"/>
            <w:u w:val="none"/>
          </w:rPr>
          <w:t>kyphosis</w:t>
        </w:r>
      </w:hyperlink>
      <w:r w:rsidRPr="00F14BD7">
        <w:rPr>
          <w:rFonts w:eastAsia="Times New Roman"/>
        </w:rPr>
        <w:t> </w:t>
      </w:r>
      <w:r w:rsidRPr="00F14BD7">
        <w:rPr>
          <w:rFonts w:eastAsia="Times New Roman"/>
          <w:color w:val="000000"/>
        </w:rPr>
        <w:t>was 80° (range 61°-102°)</w:t>
      </w:r>
      <w:r w:rsidR="00F14BD7" w:rsidRPr="00F14BD7">
        <w:rPr>
          <w:rFonts w:eastAsia="Times New Roman"/>
          <w:color w:val="000000"/>
        </w:rPr>
        <w:t xml:space="preserve"> (PONTE)</w:t>
      </w:r>
      <w:r w:rsidRPr="00F14BD7">
        <w:rPr>
          <w:rFonts w:eastAsia="Times New Roman"/>
        </w:rPr>
        <w:t>.</w:t>
      </w:r>
      <w:r>
        <w:rPr>
          <w:rFonts w:eastAsia="Times New Roman"/>
        </w:rPr>
        <w:t xml:space="preserve">  </w:t>
      </w:r>
      <w:r w:rsidR="00F14BD7">
        <w:t xml:space="preserve">The </w:t>
      </w:r>
      <w:r w:rsidR="00167FE7">
        <w:t xml:space="preserve">typical </w:t>
      </w:r>
      <w:r w:rsidR="00F14BD7">
        <w:t>indication for</w:t>
      </w:r>
      <w:r w:rsidR="00445342">
        <w:t xml:space="preserve"> posterior osteotomies</w:t>
      </w:r>
      <w:r w:rsidR="0040377E">
        <w:t xml:space="preserve"> today</w:t>
      </w:r>
      <w:r w:rsidR="00445342">
        <w:t xml:space="preserve"> </w:t>
      </w:r>
      <w:r w:rsidR="00F14BD7">
        <w:t xml:space="preserve">is </w:t>
      </w:r>
      <w:r w:rsidR="00445342">
        <w:t xml:space="preserve">to free up </w:t>
      </w:r>
      <w:r w:rsidR="0040377E">
        <w:t xml:space="preserve">multiple </w:t>
      </w:r>
      <w:r w:rsidR="00445342">
        <w:t xml:space="preserve">stiff vertebral segments that are not totally fused to improve </w:t>
      </w:r>
      <w:r w:rsidR="00FC18C5">
        <w:t xml:space="preserve">the degree of </w:t>
      </w:r>
      <w:r w:rsidR="00F14BD7">
        <w:t xml:space="preserve">coronal </w:t>
      </w:r>
      <w:r w:rsidR="00445342">
        <w:t>correction</w:t>
      </w:r>
      <w:r w:rsidR="00FC18C5">
        <w:t xml:space="preserve"> </w:t>
      </w:r>
      <w:r w:rsidR="00F14BD7">
        <w:t>and reduce thoracic hypokyphosis if present.</w:t>
      </w:r>
      <w:r w:rsidR="00445342">
        <w:t xml:space="preserve"> </w:t>
      </w:r>
    </w:p>
    <w:p w14:paraId="592728B4" w14:textId="77777777" w:rsidR="006D590B" w:rsidRDefault="006D590B" w:rsidP="00445342"/>
    <w:p w14:paraId="7BB16106" w14:textId="1AB5057E" w:rsidR="00445342" w:rsidRDefault="00B461DF" w:rsidP="00445342">
      <w:r>
        <w:t>(</w:t>
      </w:r>
      <w:r w:rsidR="005638DC">
        <w:t>SHAHEEN</w:t>
      </w:r>
      <w:r>
        <w:t>)</w:t>
      </w:r>
      <w:r w:rsidR="005638DC">
        <w:t xml:space="preserve"> reported that the use of </w:t>
      </w:r>
      <w:r w:rsidR="00F14BD7">
        <w:t>posterior</w:t>
      </w:r>
      <w:r w:rsidR="005638DC">
        <w:t xml:space="preserve"> osteotomies increased from 17% to 35% of scoliosis cases between 2007 and 2015.  </w:t>
      </w:r>
      <w:r w:rsidR="00445342">
        <w:t xml:space="preserve"> </w:t>
      </w:r>
      <w:r w:rsidR="00FC18C5">
        <w:t xml:space="preserve">The Medicare frequency (which does not capture all pediatric scoliosis increased 30% (7824 to 10,184) from 2015 to 2018.   </w:t>
      </w:r>
      <w:r>
        <w:t>(</w:t>
      </w:r>
      <w:r w:rsidR="00FC18C5">
        <w:t>BUCKLAND</w:t>
      </w:r>
      <w:r>
        <w:t>)</w:t>
      </w:r>
      <w:r w:rsidR="00FC18C5">
        <w:t xml:space="preserve"> in reviewing a large database of 2210 patients undergoing scoliosis surgery reported </w:t>
      </w:r>
      <w:r w:rsidR="00871EEA">
        <w:t>that 73% of patients (</w:t>
      </w:r>
      <w:r w:rsidR="00FC18C5">
        <w:t>1611</w:t>
      </w:r>
      <w:r w:rsidR="00871EEA">
        <w:t>)</w:t>
      </w:r>
      <w:r w:rsidR="00FC18C5">
        <w:t xml:space="preserve"> </w:t>
      </w:r>
      <w:r w:rsidR="00871EEA">
        <w:t>also underwent</w:t>
      </w:r>
      <w:r w:rsidR="00FC18C5">
        <w:t xml:space="preserve"> </w:t>
      </w:r>
      <w:r w:rsidR="00F14BD7">
        <w:t>posterior</w:t>
      </w:r>
      <w:r w:rsidR="00FC18C5">
        <w:t xml:space="preserve"> osteotom</w:t>
      </w:r>
      <w:r w:rsidR="00871EEA">
        <w:t xml:space="preserve">ies. </w:t>
      </w:r>
    </w:p>
    <w:p w14:paraId="4E2EE4AB" w14:textId="77777777" w:rsidR="005638DC" w:rsidRDefault="005638DC" w:rsidP="00445342"/>
    <w:p w14:paraId="5EE42B06" w14:textId="1ADB279F" w:rsidR="00445342" w:rsidRDefault="00445342" w:rsidP="00445342">
      <w:r>
        <w:t xml:space="preserve"> #6   </w:t>
      </w:r>
      <w:r w:rsidR="006D590B">
        <w:t>I</w:t>
      </w:r>
      <w:r>
        <w:t xml:space="preserve">ncorrect use </w:t>
      </w:r>
      <w:r w:rsidR="00B77E01">
        <w:t>of posterior</w:t>
      </w:r>
      <w:r>
        <w:t xml:space="preserve"> osteotomy codes.   In some </w:t>
      </w:r>
      <w:r w:rsidR="00B723E6">
        <w:t>cases,</w:t>
      </w:r>
      <w:r>
        <w:t xml:space="preserve"> facet/soft tissue release (Schwab type I osteotomies) are reported </w:t>
      </w:r>
      <w:r w:rsidR="00CC240F">
        <w:t xml:space="preserve">incorrectly </w:t>
      </w:r>
      <w:r w:rsidR="00B77E01">
        <w:t xml:space="preserve">with </w:t>
      </w:r>
      <w:r w:rsidR="00CA57CA">
        <w:t xml:space="preserve">the </w:t>
      </w:r>
      <w:r w:rsidR="00B77E01">
        <w:t>posterior</w:t>
      </w:r>
      <w:r>
        <w:t xml:space="preserve"> osteotomy codes.    Isolated </w:t>
      </w:r>
      <w:r w:rsidR="00CC240F">
        <w:t xml:space="preserve">partial facetectomy and </w:t>
      </w:r>
      <w:r>
        <w:t xml:space="preserve">soft tissue release is considered part of </w:t>
      </w:r>
      <w:r w:rsidR="00B77E01">
        <w:t>spinal</w:t>
      </w:r>
      <w:r>
        <w:t xml:space="preserve"> fusion and should not be separately reported</w:t>
      </w:r>
      <w:r w:rsidR="00CC240F">
        <w:t xml:space="preserve"> with an osteotomy code</w:t>
      </w:r>
      <w:r w:rsidR="00CA57CA">
        <w:t>. (DEWALD)</w:t>
      </w:r>
      <w:r>
        <w:t xml:space="preserve"> </w:t>
      </w:r>
    </w:p>
    <w:p w14:paraId="26A6D631" w14:textId="77777777" w:rsidR="00445342" w:rsidRDefault="00445342" w:rsidP="00445342"/>
    <w:p w14:paraId="6973ED51" w14:textId="4DFF9777" w:rsidR="00445342" w:rsidRDefault="006C7693" w:rsidP="00445342">
      <w:r>
        <w:lastRenderedPageBreak/>
        <w:t xml:space="preserve">We </w:t>
      </w:r>
      <w:r w:rsidR="00445342">
        <w:t xml:space="preserve">further </w:t>
      </w:r>
      <w:r>
        <w:t>offer a suggestion for</w:t>
      </w:r>
      <w:r w:rsidR="00445342">
        <w:t xml:space="preserve"> rewording</w:t>
      </w:r>
      <w:r w:rsidR="006D590B">
        <w:t xml:space="preserve"> or revision of the </w:t>
      </w:r>
      <w:r w:rsidR="00CC240F">
        <w:t xml:space="preserve">posterior osteotomy </w:t>
      </w:r>
      <w:r w:rsidR="00445342">
        <w:t xml:space="preserve">codes to prevent </w:t>
      </w:r>
      <w:r w:rsidR="005C3103">
        <w:t xml:space="preserve">misuse or </w:t>
      </w:r>
      <w:r>
        <w:t>overuse</w:t>
      </w:r>
      <w:r w:rsidR="00445342">
        <w:t xml:space="preserve"> of these procedures</w:t>
      </w:r>
      <w:r w:rsidR="00CC240F">
        <w:t xml:space="preserve"> and present two options</w:t>
      </w:r>
      <w:r w:rsidR="00445342">
        <w:t>.</w:t>
      </w:r>
    </w:p>
    <w:p w14:paraId="1F641C43" w14:textId="77777777" w:rsidR="00445342" w:rsidRDefault="00445342" w:rsidP="00445342"/>
    <w:p w14:paraId="794C3940" w14:textId="15DA36AF" w:rsidR="00B34AEA" w:rsidRPr="00B34AEA" w:rsidRDefault="00B34AEA" w:rsidP="00445342">
      <w:pPr>
        <w:rPr>
          <w:b/>
          <w:bCs/>
        </w:rPr>
      </w:pPr>
      <w:r w:rsidRPr="00B34AEA">
        <w:rPr>
          <w:b/>
          <w:bCs/>
        </w:rPr>
        <w:t>Option #1</w:t>
      </w:r>
    </w:p>
    <w:p w14:paraId="5E9CF607" w14:textId="330A1004" w:rsidR="00445342" w:rsidRDefault="00445342" w:rsidP="00440C71">
      <w:pPr>
        <w:ind w:left="720" w:firstLine="720"/>
      </w:pPr>
      <w:r>
        <w:t>22210 Osteotomy of spine, posterior or posterolateral approach, 1-</w:t>
      </w:r>
      <w:r w:rsidR="006C7693">
        <w:t>4</w:t>
      </w:r>
      <w:r>
        <w:t xml:space="preserve"> vertebral segments; cervical</w:t>
      </w:r>
    </w:p>
    <w:p w14:paraId="46975384" w14:textId="519EDF4D" w:rsidR="00445342" w:rsidRDefault="00445342" w:rsidP="00440C71">
      <w:pPr>
        <w:ind w:left="720" w:firstLine="720"/>
      </w:pPr>
      <w:r>
        <w:t>2221</w:t>
      </w:r>
      <w:r w:rsidR="00004E31">
        <w:t>0</w:t>
      </w:r>
      <w:r>
        <w:t xml:space="preserve">x1 Osteotomy of spine, posterior or posterolateral approach, more than </w:t>
      </w:r>
      <w:r w:rsidR="006C7693">
        <w:t>4</w:t>
      </w:r>
      <w:r w:rsidR="00B34AEA">
        <w:t xml:space="preserve"> </w:t>
      </w:r>
      <w:r>
        <w:t>vertebral segments; cervical</w:t>
      </w:r>
    </w:p>
    <w:p w14:paraId="366BDB27" w14:textId="0B258538" w:rsidR="00445342" w:rsidRDefault="00445342" w:rsidP="00440C71">
      <w:pPr>
        <w:ind w:left="720" w:firstLine="720"/>
      </w:pPr>
      <w:r>
        <w:t>22212 Osteotomy of spine, posterior or posterolateral approach, 1-</w:t>
      </w:r>
      <w:r w:rsidR="006C7693">
        <w:t>4</w:t>
      </w:r>
      <w:r>
        <w:t xml:space="preserve"> vertebral segments; thoracic</w:t>
      </w:r>
      <w:r w:rsidR="00004E31">
        <w:t xml:space="preserve"> or lumbar</w:t>
      </w:r>
    </w:p>
    <w:p w14:paraId="62C325BB" w14:textId="56E96C6E" w:rsidR="00445342" w:rsidRDefault="00445342" w:rsidP="00440C71">
      <w:pPr>
        <w:ind w:left="720" w:firstLine="720"/>
      </w:pPr>
      <w:r>
        <w:t>2221</w:t>
      </w:r>
      <w:r w:rsidR="00004E31">
        <w:t>2</w:t>
      </w:r>
      <w:r>
        <w:t xml:space="preserve">x2 Osteotomy of spine, posterior or posterolateral approach, more than </w:t>
      </w:r>
      <w:r w:rsidR="006C7693">
        <w:t>4</w:t>
      </w:r>
      <w:r>
        <w:t xml:space="preserve"> vertebral segments; thoracic</w:t>
      </w:r>
      <w:r w:rsidR="00004E31">
        <w:t xml:space="preserve"> or lumbar</w:t>
      </w:r>
    </w:p>
    <w:p w14:paraId="58138372" w14:textId="77777777" w:rsidR="006C4E3A" w:rsidRDefault="006C4E3A"/>
    <w:p w14:paraId="4D9E6BDB" w14:textId="67693431" w:rsidR="00B34AEA" w:rsidRPr="00440C71" w:rsidRDefault="00B34AEA">
      <w:pPr>
        <w:rPr>
          <w:b/>
          <w:bCs/>
        </w:rPr>
      </w:pPr>
      <w:r w:rsidRPr="00440C71">
        <w:rPr>
          <w:b/>
          <w:bCs/>
        </w:rPr>
        <w:t>Option #2</w:t>
      </w:r>
    </w:p>
    <w:p w14:paraId="1BC46EF9" w14:textId="3750042D" w:rsidR="00B34AEA" w:rsidRDefault="00B34AEA" w:rsidP="00440C71">
      <w:pPr>
        <w:ind w:left="720"/>
      </w:pPr>
      <w:r>
        <w:t xml:space="preserve">Delete the current posterior osteotomy codes and bundle osteotomies into new deformity fusion </w:t>
      </w:r>
      <w:r w:rsidR="00440C71">
        <w:t xml:space="preserve">codes </w:t>
      </w:r>
      <w:r>
        <w:t>with</w:t>
      </w:r>
      <w:r w:rsidR="00440C71">
        <w:t xml:space="preserve"> and without</w:t>
      </w:r>
      <w:r>
        <w:t xml:space="preserve"> </w:t>
      </w:r>
      <w:r w:rsidR="00B723E6">
        <w:t>osteotomy.</w:t>
      </w:r>
      <w:r>
        <w:t xml:space="preserve"> </w:t>
      </w:r>
    </w:p>
    <w:p w14:paraId="3689C4BF" w14:textId="77777777" w:rsidR="00CC240F" w:rsidRDefault="00CC240F" w:rsidP="00440C71">
      <w:pPr>
        <w:ind w:left="720"/>
      </w:pPr>
    </w:p>
    <w:p w14:paraId="60974C3C" w14:textId="2EA1EE49" w:rsidR="00B34AEA" w:rsidRDefault="00B34AEA" w:rsidP="00440C71">
      <w:pPr>
        <w:ind w:left="720"/>
      </w:pPr>
      <w:r>
        <w:t xml:space="preserve">22800 </w:t>
      </w:r>
      <w:r w:rsidRPr="00B34AEA">
        <w:t>Arthrodesis, posterior, for spinal deformity, with or without cast; up to 6 vertebral segments</w:t>
      </w:r>
    </w:p>
    <w:p w14:paraId="5F15A5E6" w14:textId="56B29ABF" w:rsidR="005C3103" w:rsidRDefault="00B34AEA" w:rsidP="005C3103">
      <w:pPr>
        <w:ind w:left="720"/>
      </w:pPr>
      <w:r>
        <w:t>22800x</w:t>
      </w:r>
      <w:r w:rsidR="00B7534B">
        <w:t>1</w:t>
      </w:r>
      <w:r>
        <w:t xml:space="preserve"> </w:t>
      </w:r>
      <w:r w:rsidRPr="00B34AEA">
        <w:t>Arthrodesis, posterior, for spinal deformity</w:t>
      </w:r>
      <w:r>
        <w:t xml:space="preserve">, with </w:t>
      </w:r>
      <w:r w:rsidR="005C3103">
        <w:t xml:space="preserve">posterior </w:t>
      </w:r>
      <w:r>
        <w:t>osteotomies</w:t>
      </w:r>
      <w:r w:rsidR="005C3103">
        <w:t xml:space="preserve"> (</w:t>
      </w:r>
      <w:proofErr w:type="spellStart"/>
      <w:r w:rsidR="005C3103">
        <w:t>eg</w:t>
      </w:r>
      <w:proofErr w:type="spellEnd"/>
      <w:r w:rsidR="005C3103">
        <w:t xml:space="preserve"> Ponte, Schwab II)</w:t>
      </w:r>
      <w:r w:rsidRPr="00B34AEA">
        <w:t>, with or without cast; up to 6 vertebral segments</w:t>
      </w:r>
    </w:p>
    <w:p w14:paraId="6DFBE430" w14:textId="77777777" w:rsidR="00B34AEA" w:rsidRDefault="00B34AEA" w:rsidP="00440C71">
      <w:pPr>
        <w:ind w:left="720"/>
      </w:pPr>
    </w:p>
    <w:p w14:paraId="35B7850E" w14:textId="4DDFFED7" w:rsidR="00B34AEA" w:rsidRDefault="00B34AEA" w:rsidP="00440C71">
      <w:pPr>
        <w:ind w:left="720"/>
      </w:pPr>
      <w:r>
        <w:t xml:space="preserve">22802 </w:t>
      </w:r>
      <w:r w:rsidRPr="00B34AEA">
        <w:t>Arthrodesis, posterior, for spinal deformity, with or without cast; 7 to 12 vertebral segments</w:t>
      </w:r>
    </w:p>
    <w:p w14:paraId="690049D0" w14:textId="1D5143B3" w:rsidR="00B34AEA" w:rsidRDefault="00B34AEA" w:rsidP="00440C71">
      <w:pPr>
        <w:ind w:left="720"/>
      </w:pPr>
      <w:r>
        <w:t>22802</w:t>
      </w:r>
      <w:r w:rsidR="00B7534B">
        <w:t>x1</w:t>
      </w:r>
      <w:r>
        <w:t xml:space="preserve"> </w:t>
      </w:r>
      <w:r w:rsidRPr="00B34AEA">
        <w:t xml:space="preserve">Arthrodesis, posterior, for spinal deformity, </w:t>
      </w:r>
      <w:r w:rsidR="00B7534B">
        <w:t>with osteotomies</w:t>
      </w:r>
      <w:r w:rsidR="00004E31">
        <w:t>, (</w:t>
      </w:r>
      <w:proofErr w:type="spellStart"/>
      <w:r w:rsidR="00004E31">
        <w:t>eg</w:t>
      </w:r>
      <w:proofErr w:type="spellEnd"/>
      <w:r w:rsidR="00004E31">
        <w:t xml:space="preserve"> Ponte, Schwab II)</w:t>
      </w:r>
      <w:r w:rsidR="00B7534B" w:rsidRPr="00B34AEA">
        <w:t xml:space="preserve">, </w:t>
      </w:r>
      <w:r w:rsidRPr="00B34AEA">
        <w:t>with or without cast; 7 to 12 vertebral segments</w:t>
      </w:r>
    </w:p>
    <w:p w14:paraId="7B00CE89" w14:textId="77777777" w:rsidR="00B34AEA" w:rsidRDefault="00B34AEA" w:rsidP="00440C71">
      <w:pPr>
        <w:ind w:left="720"/>
      </w:pPr>
    </w:p>
    <w:p w14:paraId="2FBCF91F" w14:textId="481EA0FF" w:rsidR="00B34AEA" w:rsidRDefault="00B34AEA" w:rsidP="00440C71">
      <w:pPr>
        <w:ind w:left="720"/>
      </w:pPr>
      <w:r>
        <w:t xml:space="preserve">22804 </w:t>
      </w:r>
      <w:r w:rsidRPr="00B34AEA">
        <w:t>Arthrodesis, posterior, for spinal deformity, with or without cast; 13 or more vertebral segments</w:t>
      </w:r>
    </w:p>
    <w:p w14:paraId="02CE1ADD" w14:textId="0A2089C0" w:rsidR="00B7534B" w:rsidRDefault="00B7534B" w:rsidP="00440C71">
      <w:pPr>
        <w:ind w:left="720"/>
      </w:pPr>
      <w:r>
        <w:t xml:space="preserve">22804x1 </w:t>
      </w:r>
      <w:r w:rsidRPr="00B34AEA">
        <w:t>Arthrodesis, posterior, for spinal deformity,</w:t>
      </w:r>
      <w:r w:rsidRPr="00B7534B">
        <w:t xml:space="preserve"> </w:t>
      </w:r>
      <w:r>
        <w:t>with osteotomies</w:t>
      </w:r>
      <w:r w:rsidRPr="00B34AEA">
        <w:t xml:space="preserve">, </w:t>
      </w:r>
      <w:r w:rsidR="00004E31">
        <w:t>(</w:t>
      </w:r>
      <w:proofErr w:type="spellStart"/>
      <w:r w:rsidR="00004E31">
        <w:t>eg</w:t>
      </w:r>
      <w:proofErr w:type="spellEnd"/>
      <w:r w:rsidR="00004E31">
        <w:t xml:space="preserve"> Ponte, Schwab II), </w:t>
      </w:r>
      <w:r w:rsidRPr="00B34AEA">
        <w:t>with or without cast; 13 or more vertebral segments</w:t>
      </w:r>
    </w:p>
    <w:p w14:paraId="1288FBAE" w14:textId="77777777" w:rsidR="00B7534B" w:rsidRDefault="00B7534B" w:rsidP="00B7534B"/>
    <w:p w14:paraId="1D9BF336" w14:textId="77777777" w:rsidR="00B7534B" w:rsidRDefault="00B7534B"/>
    <w:p w14:paraId="4692DE2F" w14:textId="510F07CE" w:rsidR="00B34AEA" w:rsidRDefault="00440C71">
      <w:r>
        <w:t xml:space="preserve">Thank you for your </w:t>
      </w:r>
      <w:r w:rsidR="00CC240F">
        <w:t>consideration.</w:t>
      </w:r>
    </w:p>
    <w:p w14:paraId="3C8874E6" w14:textId="77777777" w:rsidR="00871EEA" w:rsidRDefault="00871EEA"/>
    <w:p w14:paraId="6ABEA9D1" w14:textId="0351C058" w:rsidR="00871EEA" w:rsidRDefault="00871EEA">
      <w:r>
        <w:t>Sincerely</w:t>
      </w:r>
    </w:p>
    <w:p w14:paraId="268BA4F0" w14:textId="77777777" w:rsidR="00E976D1" w:rsidRDefault="00E976D1"/>
    <w:p w14:paraId="2920CEDB" w14:textId="6AAC70E9" w:rsidR="00871EEA" w:rsidRDefault="00871EEA">
      <w:r>
        <w:t>Charles Mick, MD</w:t>
      </w:r>
    </w:p>
    <w:p w14:paraId="5137A4BE" w14:textId="2EEC0339" w:rsidR="00CC240F" w:rsidRDefault="000253FA">
      <w:r>
        <w:t>366 Town Farm Road</w:t>
      </w:r>
    </w:p>
    <w:p w14:paraId="6CB84FE8" w14:textId="7FA664C9" w:rsidR="000253FA" w:rsidRDefault="000253FA">
      <w:proofErr w:type="gramStart"/>
      <w:r>
        <w:t>Ludlow,  VT</w:t>
      </w:r>
      <w:proofErr w:type="gramEnd"/>
      <w:r>
        <w:t xml:space="preserve"> 05149</w:t>
      </w:r>
    </w:p>
    <w:p w14:paraId="77CEDBFC" w14:textId="258EFF88" w:rsidR="00004E31" w:rsidRDefault="00004E31">
      <w:r>
        <w:t xml:space="preserve">Email- </w:t>
      </w:r>
      <w:hyperlink r:id="rId9" w:history="1">
        <w:r w:rsidR="002417A6" w:rsidRPr="009120CA">
          <w:rPr>
            <w:rStyle w:val="Hyperlink"/>
          </w:rPr>
          <w:t>mickch@aol.com</w:t>
        </w:r>
      </w:hyperlink>
    </w:p>
    <w:p w14:paraId="708BD190" w14:textId="77777777" w:rsidR="0090655A" w:rsidRDefault="0090655A"/>
    <w:p w14:paraId="79E7BEBC" w14:textId="77777777" w:rsidR="0090655A" w:rsidRDefault="0090655A" w:rsidP="00004E31">
      <w:pPr>
        <w:ind w:left="720"/>
        <w:rPr>
          <w:rFonts w:ascii="Calibri" w:hAnsi="Calibri" w:cs="Calibri"/>
        </w:rPr>
      </w:pPr>
      <w:r>
        <w:rPr>
          <w:rFonts w:ascii="Calibri" w:hAnsi="Calibri" w:cs="Calibri"/>
        </w:rPr>
        <w:t>AMA-Specialty Society Resource Based Relative Value Scale Update Committee, (RUC)</w:t>
      </w:r>
    </w:p>
    <w:p w14:paraId="4A8D1B7F" w14:textId="1DF474A6" w:rsidR="0090655A" w:rsidRDefault="0090655A" w:rsidP="00004E31">
      <w:pPr>
        <w:ind w:left="720" w:firstLine="720"/>
        <w:rPr>
          <w:rFonts w:ascii="Calibri" w:hAnsi="Calibri" w:cs="Calibri"/>
        </w:rPr>
      </w:pPr>
      <w:r>
        <w:rPr>
          <w:rFonts w:ascii="Calibri" w:hAnsi="Calibri" w:cs="Calibri"/>
        </w:rPr>
        <w:t xml:space="preserve">NASS Advisor, </w:t>
      </w:r>
      <w:r w:rsidR="00E976D1">
        <w:rPr>
          <w:rFonts w:ascii="Calibri" w:hAnsi="Calibri" w:cs="Calibri"/>
        </w:rPr>
        <w:t>2002-2010</w:t>
      </w:r>
      <w:r>
        <w:rPr>
          <w:rFonts w:ascii="Calibri" w:hAnsi="Calibri" w:cs="Calibri"/>
        </w:rPr>
        <w:t> </w:t>
      </w:r>
    </w:p>
    <w:p w14:paraId="2264B1E1" w14:textId="03756FE3" w:rsidR="0090655A" w:rsidRDefault="0090655A" w:rsidP="00004E31">
      <w:pPr>
        <w:ind w:left="720" w:firstLine="720"/>
        <w:rPr>
          <w:rFonts w:ascii="Calibri" w:hAnsi="Calibri" w:cs="Calibri"/>
        </w:rPr>
      </w:pPr>
      <w:r>
        <w:rPr>
          <w:rFonts w:ascii="Calibri" w:hAnsi="Calibri" w:cs="Calibri"/>
        </w:rPr>
        <w:t xml:space="preserve">Member </w:t>
      </w:r>
      <w:r w:rsidR="00E976D1">
        <w:rPr>
          <w:rFonts w:ascii="Calibri" w:hAnsi="Calibri" w:cs="Calibri"/>
        </w:rPr>
        <w:t>2005-2006</w:t>
      </w:r>
    </w:p>
    <w:p w14:paraId="0115EA5D" w14:textId="77777777" w:rsidR="00871EEA" w:rsidRDefault="00871EEA"/>
    <w:p w14:paraId="7F8A5B16" w14:textId="77777777" w:rsidR="0090655A" w:rsidRDefault="0090655A" w:rsidP="0090655A">
      <w:pPr>
        <w:rPr>
          <w:rFonts w:ascii="Calibri" w:hAnsi="Calibri" w:cs="Calibri"/>
        </w:rPr>
      </w:pPr>
      <w:r>
        <w:rPr>
          <w:rFonts w:ascii="Calibri" w:hAnsi="Calibri" w:cs="Calibri"/>
        </w:rPr>
        <w:t>Richard J. Haynes, MD</w:t>
      </w:r>
    </w:p>
    <w:p w14:paraId="79D56934" w14:textId="77777777" w:rsidR="0090655A" w:rsidRDefault="0090655A" w:rsidP="0090655A">
      <w:pPr>
        <w:rPr>
          <w:rFonts w:ascii="Calibri" w:hAnsi="Calibri" w:cs="Calibri"/>
        </w:rPr>
      </w:pPr>
      <w:r>
        <w:rPr>
          <w:rFonts w:ascii="Calibri" w:hAnsi="Calibri" w:cs="Calibri"/>
        </w:rPr>
        <w:t>511 West Ocotillo Road</w:t>
      </w:r>
    </w:p>
    <w:p w14:paraId="0B31E6CE" w14:textId="77777777" w:rsidR="0090655A" w:rsidRDefault="0090655A" w:rsidP="0090655A">
      <w:pPr>
        <w:rPr>
          <w:rFonts w:ascii="Calibri" w:hAnsi="Calibri" w:cs="Calibri"/>
        </w:rPr>
      </w:pPr>
      <w:r>
        <w:rPr>
          <w:rFonts w:ascii="Calibri" w:hAnsi="Calibri" w:cs="Calibri"/>
        </w:rPr>
        <w:lastRenderedPageBreak/>
        <w:t>Phoenix, Arizona 85013</w:t>
      </w:r>
    </w:p>
    <w:p w14:paraId="7B2BA6DA" w14:textId="77777777" w:rsidR="002417A6" w:rsidRDefault="0090655A" w:rsidP="002417A6">
      <w:pPr>
        <w:rPr>
          <w:rFonts w:ascii="Calibri" w:hAnsi="Calibri" w:cs="Calibri"/>
        </w:rPr>
      </w:pPr>
      <w:r>
        <w:rPr>
          <w:rFonts w:ascii="Calibri" w:hAnsi="Calibri" w:cs="Calibri"/>
        </w:rPr>
        <w:t> </w:t>
      </w:r>
      <w:r w:rsidR="00004E31">
        <w:rPr>
          <w:rFonts w:ascii="Calibri" w:hAnsi="Calibri" w:cs="Calibri"/>
        </w:rPr>
        <w:t xml:space="preserve">Email- </w:t>
      </w:r>
      <w:hyperlink r:id="rId10" w:history="1">
        <w:r w:rsidR="002417A6">
          <w:rPr>
            <w:rStyle w:val="Hyperlink"/>
            <w:rFonts w:ascii="Calibri" w:hAnsi="Calibri" w:cs="Calibri"/>
          </w:rPr>
          <w:t>rhaynes@tpshealth.com</w:t>
        </w:r>
      </w:hyperlink>
    </w:p>
    <w:p w14:paraId="14702A81" w14:textId="54ACEF0E" w:rsidR="0090655A" w:rsidRDefault="0090655A" w:rsidP="002417A6">
      <w:pPr>
        <w:ind w:left="720"/>
        <w:rPr>
          <w:rFonts w:ascii="Calibri" w:hAnsi="Calibri" w:cs="Calibri"/>
        </w:rPr>
      </w:pPr>
    </w:p>
    <w:p w14:paraId="6AD13CD0" w14:textId="77777777" w:rsidR="0090655A" w:rsidRDefault="0090655A" w:rsidP="002417A6">
      <w:pPr>
        <w:ind w:left="720"/>
        <w:rPr>
          <w:rFonts w:ascii="Calibri" w:hAnsi="Calibri" w:cs="Calibri"/>
        </w:rPr>
      </w:pPr>
      <w:r>
        <w:rPr>
          <w:rFonts w:ascii="Calibri" w:hAnsi="Calibri" w:cs="Calibri"/>
        </w:rPr>
        <w:t>AMA-Specialty Society Resource Based Relative Value Scale Update Committee, (RUC)</w:t>
      </w:r>
    </w:p>
    <w:p w14:paraId="7816F8BC" w14:textId="7F9F2222" w:rsidR="0090655A" w:rsidRDefault="002417A6" w:rsidP="002417A6">
      <w:pPr>
        <w:ind w:left="720" w:firstLine="720"/>
        <w:rPr>
          <w:rFonts w:ascii="Calibri" w:hAnsi="Calibri" w:cs="Calibri"/>
        </w:rPr>
      </w:pPr>
      <w:r>
        <w:rPr>
          <w:rFonts w:ascii="Calibri" w:hAnsi="Calibri" w:cs="Calibri"/>
        </w:rPr>
        <w:t>AAOS</w:t>
      </w:r>
      <w:r w:rsidR="0090655A">
        <w:rPr>
          <w:rFonts w:ascii="Calibri" w:hAnsi="Calibri" w:cs="Calibri"/>
        </w:rPr>
        <w:t xml:space="preserve"> Advisor, 1994-1997 </w:t>
      </w:r>
    </w:p>
    <w:p w14:paraId="24514A32" w14:textId="77777777" w:rsidR="0090655A" w:rsidRDefault="0090655A" w:rsidP="002417A6">
      <w:pPr>
        <w:ind w:left="720" w:firstLine="720"/>
        <w:rPr>
          <w:rFonts w:ascii="Calibri" w:hAnsi="Calibri" w:cs="Calibri"/>
        </w:rPr>
      </w:pPr>
      <w:r>
        <w:rPr>
          <w:rFonts w:ascii="Calibri" w:hAnsi="Calibri" w:cs="Calibri"/>
        </w:rPr>
        <w:t>Member 1997-2002</w:t>
      </w:r>
    </w:p>
    <w:p w14:paraId="37657404" w14:textId="1FB40DAC" w:rsidR="00871EEA" w:rsidRPr="002417A6" w:rsidRDefault="0090655A" w:rsidP="002417A6">
      <w:pPr>
        <w:ind w:left="1440"/>
        <w:rPr>
          <w:rFonts w:ascii="Calibri" w:hAnsi="Calibri" w:cs="Calibri"/>
        </w:rPr>
      </w:pPr>
      <w:r>
        <w:rPr>
          <w:rFonts w:ascii="Calibri" w:hAnsi="Calibri" w:cs="Calibri"/>
        </w:rPr>
        <w:t> </w:t>
      </w:r>
    </w:p>
    <w:p w14:paraId="5CC3C7A9" w14:textId="6535A653" w:rsidR="00871EEA" w:rsidRPr="00871EEA" w:rsidRDefault="00871EEA">
      <w:pPr>
        <w:rPr>
          <w:b/>
          <w:bCs/>
        </w:rPr>
      </w:pPr>
      <w:r w:rsidRPr="00871EEA">
        <w:rPr>
          <w:b/>
          <w:bCs/>
        </w:rPr>
        <w:t>References</w:t>
      </w:r>
      <w:proofErr w:type="gramStart"/>
      <w:r w:rsidR="00B723E6">
        <w:rPr>
          <w:b/>
          <w:bCs/>
        </w:rPr>
        <w:t>-  Print</w:t>
      </w:r>
      <w:proofErr w:type="gramEnd"/>
      <w:r w:rsidR="00B723E6">
        <w:rPr>
          <w:b/>
          <w:bCs/>
        </w:rPr>
        <w:t xml:space="preserve"> articles available upon request</w:t>
      </w:r>
    </w:p>
    <w:p w14:paraId="42B43022" w14:textId="77777777" w:rsidR="006B79AD" w:rsidRDefault="006B79AD"/>
    <w:p w14:paraId="1954EAC6" w14:textId="49A248E2" w:rsidR="006B79AD" w:rsidRDefault="006B79AD" w:rsidP="006B79AD">
      <w:r>
        <w:t>Ponte</w:t>
      </w:r>
      <w:r w:rsidR="00224756">
        <w:t>,</w:t>
      </w:r>
      <w:r w:rsidR="00167FE7">
        <w:t xml:space="preserve"> </w:t>
      </w:r>
      <w:proofErr w:type="gramStart"/>
      <w:r w:rsidR="00167FE7">
        <w:t>A.</w:t>
      </w:r>
      <w:r>
        <w:t xml:space="preserve"> </w:t>
      </w:r>
      <w:r w:rsidR="00224756">
        <w:t>;</w:t>
      </w:r>
      <w:proofErr w:type="gramEnd"/>
      <w:r>
        <w:t xml:space="preserve"> Orlando</w:t>
      </w:r>
      <w:r w:rsidR="00224756">
        <w:t>,</w:t>
      </w:r>
      <w:r>
        <w:t xml:space="preserve"> G</w:t>
      </w:r>
      <w:r w:rsidR="00224756">
        <w:t>;</w:t>
      </w:r>
      <w:r>
        <w:t xml:space="preserve"> Siccardi GL (2018) The </w:t>
      </w:r>
      <w:r w:rsidR="00167FE7">
        <w:t>T</w:t>
      </w:r>
      <w:r>
        <w:t xml:space="preserve">rue </w:t>
      </w:r>
      <w:r w:rsidR="00167FE7">
        <w:t>P</w:t>
      </w:r>
      <w:r>
        <w:t xml:space="preserve">onte </w:t>
      </w:r>
      <w:r w:rsidR="00167FE7">
        <w:t>O</w:t>
      </w:r>
      <w:r>
        <w:t xml:space="preserve">steotomy: </w:t>
      </w:r>
      <w:r w:rsidR="00167FE7">
        <w:t>B</w:t>
      </w:r>
      <w:r>
        <w:t xml:space="preserve">y </w:t>
      </w:r>
      <w:r w:rsidR="00167FE7">
        <w:t>T</w:t>
      </w:r>
      <w:r>
        <w:t xml:space="preserve">he </w:t>
      </w:r>
      <w:r w:rsidR="00167FE7">
        <w:t>O</w:t>
      </w:r>
      <w:r>
        <w:t xml:space="preserve">ne </w:t>
      </w:r>
      <w:r w:rsidR="00167FE7">
        <w:t>W</w:t>
      </w:r>
      <w:r>
        <w:t xml:space="preserve">ho </w:t>
      </w:r>
      <w:r w:rsidR="00167FE7">
        <w:t>D</w:t>
      </w:r>
      <w:r>
        <w:t xml:space="preserve">eveloped </w:t>
      </w:r>
      <w:r w:rsidR="00167FE7">
        <w:t>I</w:t>
      </w:r>
      <w:r>
        <w:t xml:space="preserve">t. Spine Deformity 6(1):2–11. </w:t>
      </w:r>
      <w:hyperlink r:id="rId11" w:history="1">
        <w:r w:rsidRPr="007371A9">
          <w:rPr>
            <w:rStyle w:val="Hyperlink"/>
          </w:rPr>
          <w:t>https://doi.org/10.1016/j.jspd.2017.06.006</w:t>
        </w:r>
      </w:hyperlink>
      <w:r>
        <w:t xml:space="preserve"> </w:t>
      </w:r>
    </w:p>
    <w:p w14:paraId="27534424" w14:textId="77777777" w:rsidR="00496D33" w:rsidRDefault="00496D33"/>
    <w:p w14:paraId="399F09CE" w14:textId="446B397C" w:rsidR="00496D33" w:rsidRDefault="00496D33">
      <w:r>
        <w:t>Louer</w:t>
      </w:r>
      <w:r w:rsidR="006B79AD">
        <w:t>, C</w:t>
      </w:r>
      <w:r>
        <w:t xml:space="preserve"> Jr., MD1; Illingworth</w:t>
      </w:r>
      <w:r w:rsidR="00224756">
        <w:t>, K</w:t>
      </w:r>
      <w:r>
        <w:t>, MD; Metcalf,</w:t>
      </w:r>
      <w:r w:rsidR="00224756">
        <w:t xml:space="preserve"> T</w:t>
      </w:r>
      <w:r>
        <w:t>; Floccari,</w:t>
      </w:r>
      <w:r w:rsidR="00224756">
        <w:t xml:space="preserve"> L</w:t>
      </w:r>
      <w:r>
        <w:t xml:space="preserve"> MD 2023 Posterior Column Osteotomies in Adolescent Idiopathic Scoliosis</w:t>
      </w:r>
      <w:r w:rsidR="006503C2">
        <w:t>; J of Pediatric Society of North America Volume 5, Number 1, February 2023</w:t>
      </w:r>
      <w:r w:rsidR="00E44C47">
        <w:t>.  DOI: 10.55275/JPOSNA-2023-638</w:t>
      </w:r>
    </w:p>
    <w:p w14:paraId="4961E4EC" w14:textId="77777777" w:rsidR="006503C2" w:rsidRDefault="006503C2"/>
    <w:p w14:paraId="2234C142" w14:textId="423E43EB" w:rsidR="006503C2" w:rsidRDefault="006503C2">
      <w:r>
        <w:t>Schwab F, Blondel B, Chay E, et al: The comprehensive anatomical spinal osteotomy classification. Neurosurgery 2015;76(suppl 1</w:t>
      </w:r>
      <w:proofErr w:type="gramStart"/>
      <w:r>
        <w:t>):S</w:t>
      </w:r>
      <w:proofErr w:type="gramEnd"/>
      <w:r>
        <w:t>33–S41</w:t>
      </w:r>
      <w:r w:rsidR="00E44C47">
        <w:t>.  DOI: 10.1227/NEU.0000000000000182o</w:t>
      </w:r>
    </w:p>
    <w:p w14:paraId="4D551B52" w14:textId="77777777" w:rsidR="006503C2" w:rsidRDefault="006503C2"/>
    <w:p w14:paraId="5F2FF829" w14:textId="351B0E07" w:rsidR="006503C2" w:rsidRDefault="006503C2">
      <w:r>
        <w:t>Dewald, C., Posterior Column Osteotomies, SRS Coding committee Update, March 2014</w:t>
      </w:r>
    </w:p>
    <w:p w14:paraId="1374268D" w14:textId="77777777" w:rsidR="006B79AD" w:rsidRDefault="006B79AD"/>
    <w:p w14:paraId="493A976E" w14:textId="4F093E4A" w:rsidR="006503C2" w:rsidRDefault="006503C2">
      <w:proofErr w:type="spellStart"/>
      <w:r w:rsidRPr="006503C2">
        <w:t>Diebo</w:t>
      </w:r>
      <w:proofErr w:type="spellEnd"/>
      <w:r w:rsidRPr="006503C2">
        <w:t>,</w:t>
      </w:r>
      <w:r w:rsidR="006B79AD">
        <w:t xml:space="preserve"> B</w:t>
      </w:r>
      <w:r w:rsidR="00224756">
        <w:t xml:space="preserve">; </w:t>
      </w:r>
      <w:r w:rsidRPr="006503C2">
        <w:t>Liu</w:t>
      </w:r>
      <w:r w:rsidR="00224756">
        <w:t>, S;</w:t>
      </w:r>
      <w:r w:rsidRPr="006503C2">
        <w:t xml:space="preserve"> </w:t>
      </w:r>
      <w:proofErr w:type="spellStart"/>
      <w:proofErr w:type="gramStart"/>
      <w:r w:rsidRPr="006503C2">
        <w:t>Lafage,</w:t>
      </w:r>
      <w:r w:rsidR="00224756">
        <w:t>V</w:t>
      </w:r>
      <w:proofErr w:type="spellEnd"/>
      <w:proofErr w:type="gramEnd"/>
      <w:r w:rsidR="00224756">
        <w:t xml:space="preserve">; </w:t>
      </w:r>
      <w:proofErr w:type="spellStart"/>
      <w:r w:rsidRPr="006503C2">
        <w:t>Schwab,</w:t>
      </w:r>
      <w:r w:rsidR="00224756">
        <w:t>F</w:t>
      </w:r>
      <w:proofErr w:type="spellEnd"/>
      <w:r w:rsidR="00224756">
        <w:t>,</w:t>
      </w:r>
      <w:r w:rsidRPr="006503C2">
        <w:t xml:space="preserve"> </w:t>
      </w:r>
      <w:r>
        <w:t xml:space="preserve">Osteotomies in the treatment of spinal deformities: indications, classification, and surgical </w:t>
      </w:r>
      <w:r w:rsidR="00224756">
        <w:t>;</w:t>
      </w:r>
      <w:r>
        <w:t xml:space="preserve">planning, </w:t>
      </w:r>
      <w:r w:rsidR="006B79AD">
        <w:t xml:space="preserve">European Journal of </w:t>
      </w:r>
      <w:proofErr w:type="spellStart"/>
      <w:r w:rsidR="006B79AD">
        <w:t>Orthopaedic</w:t>
      </w:r>
      <w:proofErr w:type="spellEnd"/>
      <w:r w:rsidR="006B79AD">
        <w:t xml:space="preserve"> Surgery &amp; Traumatology · May 2014</w:t>
      </w:r>
      <w:r w:rsidR="00224756">
        <w:t xml:space="preserve"> DOI: 10.1007/s00590-014-1471-7 </w:t>
      </w:r>
    </w:p>
    <w:p w14:paraId="53C71C3E" w14:textId="77777777" w:rsidR="006B79AD" w:rsidRDefault="006B79AD"/>
    <w:p w14:paraId="026A9A70" w14:textId="71B6F346" w:rsidR="006B79AD" w:rsidRDefault="006B79AD" w:rsidP="006B79AD">
      <w:r>
        <w:t xml:space="preserve">Halanski MA, Cassidy </w:t>
      </w:r>
      <w:proofErr w:type="gramStart"/>
      <w:r>
        <w:t>JA</w:t>
      </w:r>
      <w:r w:rsidR="00224756">
        <w:t xml:space="preserve">, </w:t>
      </w:r>
      <w:r>
        <w:t xml:space="preserve"> Do</w:t>
      </w:r>
      <w:proofErr w:type="gramEnd"/>
      <w:r>
        <w:t xml:space="preserve"> multilevel Ponte osteotomies in thoracic idiopathic scoliosis surgery improve curve correction and restore thoracic kyphosis? J Spinal Disord</w:t>
      </w:r>
      <w:r w:rsidR="00224756">
        <w:t>ers</w:t>
      </w:r>
      <w:r>
        <w:t xml:space="preserve"> Tech</w:t>
      </w:r>
      <w:r w:rsidR="00224756">
        <w:t xml:space="preserve"> 2013. </w:t>
      </w:r>
      <w:r>
        <w:t xml:space="preserve"> 26(5):252– 255. </w:t>
      </w:r>
      <w:r w:rsidR="00224756">
        <w:t xml:space="preserve"> </w:t>
      </w:r>
      <w:hyperlink r:id="rId12" w:history="1">
        <w:r w:rsidR="00224756" w:rsidRPr="007371A9">
          <w:rPr>
            <w:rStyle w:val="Hyperlink"/>
          </w:rPr>
          <w:t>https://doi.org/10.1097/BSD.0b013e318241e3cf</w:t>
        </w:r>
      </w:hyperlink>
      <w:r>
        <w:t xml:space="preserve"> </w:t>
      </w:r>
    </w:p>
    <w:p w14:paraId="4322A446" w14:textId="77777777" w:rsidR="006B79AD" w:rsidRPr="00F300F5" w:rsidRDefault="006B79AD" w:rsidP="006B79AD"/>
    <w:p w14:paraId="3EACC0F2" w14:textId="2A61EC5B" w:rsidR="006B79AD" w:rsidRDefault="006B79AD" w:rsidP="006B79AD">
      <w:r w:rsidRPr="00F300F5">
        <w:t xml:space="preserve">Floccari LV, Poppino K, Greenhill DA, et al. </w:t>
      </w:r>
      <w:r>
        <w:t>Ponte osteotomies in a matched series of large AIS curves increase surgical risk without improving outcomes. Spine Deform. 2021;9(5):1411-1418.</w:t>
      </w:r>
      <w:r w:rsidR="00E44C47">
        <w:t xml:space="preserve">  https://doi.org/10.1007/s43390-021-00339-x</w:t>
      </w:r>
    </w:p>
    <w:p w14:paraId="7EA45C01" w14:textId="77777777" w:rsidR="006B79AD" w:rsidRPr="006503C2" w:rsidRDefault="006B79AD"/>
    <w:p w14:paraId="041DEA8F" w14:textId="69CF5D1E" w:rsidR="006B79AD" w:rsidRDefault="006B79AD" w:rsidP="006B79AD">
      <w:r>
        <w:t>Buckland AJ, Moon JY, Betz RR, et al. Ponte osteotomies increase the risk of neuromonitoring alerts in adolescent idiopathic scoliosis correction surgery. Spine (Phila Pa 1976). 2019;44(3</w:t>
      </w:r>
      <w:proofErr w:type="gramStart"/>
      <w:r>
        <w:t>):E</w:t>
      </w:r>
      <w:proofErr w:type="gramEnd"/>
      <w:r>
        <w:t>175-E180.</w:t>
      </w:r>
      <w:r w:rsidR="00E44C47">
        <w:t xml:space="preserve"> DOI: 10.1097/BRS.0000000000002784</w:t>
      </w:r>
    </w:p>
    <w:p w14:paraId="41A34F73" w14:textId="77777777" w:rsidR="00496D33" w:rsidRDefault="00496D33"/>
    <w:p w14:paraId="4F696021" w14:textId="37262ABE" w:rsidR="006B79AD" w:rsidRDefault="006B79AD" w:rsidP="006B79AD">
      <w:r>
        <w:t xml:space="preserve">Samdani AF, Bennett JT, Singla AR, Marks MC, </w:t>
      </w:r>
      <w:proofErr w:type="spellStart"/>
      <w:r>
        <w:t>Pahys</w:t>
      </w:r>
      <w:proofErr w:type="spellEnd"/>
      <w:r>
        <w:t xml:space="preserve"> JM, Lonner BS, </w:t>
      </w:r>
      <w:proofErr w:type="spellStart"/>
      <w:r>
        <w:t>Miyanji</w:t>
      </w:r>
      <w:proofErr w:type="spellEnd"/>
      <w:r>
        <w:t xml:space="preserve"> F, Shah SA, Shufflebarger HL, Newton PO, Asghar J, Betz RR, Cahill PJ (2015) Do Ponte osteotomies enhance correction in adolescent idiopathic scoliosis? An analysis of 191 Lenke 1A and 1B Curves. Spine Deform 3(5):483–488. </w:t>
      </w:r>
      <w:hyperlink r:id="rId13" w:history="1">
        <w:r w:rsidRPr="007371A9">
          <w:rPr>
            <w:rStyle w:val="Hyperlink"/>
          </w:rPr>
          <w:t>https://doi.org/10.1016/j.jspd.2015.03.002</w:t>
        </w:r>
      </w:hyperlink>
      <w:r>
        <w:t xml:space="preserve"> </w:t>
      </w:r>
    </w:p>
    <w:p w14:paraId="6004A758" w14:textId="77777777" w:rsidR="006B79AD" w:rsidRDefault="006B79AD"/>
    <w:p w14:paraId="4B4C473D" w14:textId="738CA03C" w:rsidR="00496D33" w:rsidRDefault="00496D33">
      <w:r>
        <w:t xml:space="preserve">Pizones J, Izquierdo E, Sanchez-Mariscal F, Alvarez P, Zuniga L, Gomez A (2010) Does wide posterior multiple level release improve the correction of adolescent idiopathic scoliosis curves? J Spinal </w:t>
      </w:r>
      <w:proofErr w:type="spellStart"/>
      <w:r>
        <w:t>Disord</w:t>
      </w:r>
      <w:proofErr w:type="spellEnd"/>
      <w:r>
        <w:t xml:space="preserve"> Tech 23(7</w:t>
      </w:r>
      <w:proofErr w:type="gramStart"/>
      <w:r>
        <w:t>):e</w:t>
      </w:r>
      <w:proofErr w:type="gramEnd"/>
      <w:r>
        <w:t xml:space="preserve">24-30. </w:t>
      </w:r>
      <w:hyperlink r:id="rId14" w:history="1">
        <w:r w:rsidRPr="007371A9">
          <w:rPr>
            <w:rStyle w:val="Hyperlink"/>
          </w:rPr>
          <w:t>https://doi.org/10.1097/BSD. 0b013e3181c29d16</w:t>
        </w:r>
      </w:hyperlink>
      <w:r>
        <w:t xml:space="preserve"> </w:t>
      </w:r>
    </w:p>
    <w:p w14:paraId="1DCD9985" w14:textId="77777777" w:rsidR="00496D33" w:rsidRDefault="00496D33"/>
    <w:p w14:paraId="0F08DA88" w14:textId="5CA87A7C" w:rsidR="00496D33" w:rsidRDefault="006B79AD">
      <w:r>
        <w:t>Feng, J</w:t>
      </w:r>
      <w:r w:rsidR="00224756">
        <w:t xml:space="preserve">; </w:t>
      </w:r>
      <w:r>
        <w:t>Zhou</w:t>
      </w:r>
      <w:r w:rsidR="00224756">
        <w:t xml:space="preserve">, </w:t>
      </w:r>
      <w:proofErr w:type="gramStart"/>
      <w:r w:rsidR="00224756">
        <w:t>J</w:t>
      </w:r>
      <w:r>
        <w:t xml:space="preserve"> </w:t>
      </w:r>
      <w:r w:rsidR="00224756">
        <w:t>;</w:t>
      </w:r>
      <w:proofErr w:type="gramEnd"/>
      <w:r>
        <w:t xml:space="preserve"> Huang, </w:t>
      </w:r>
      <w:r w:rsidR="00224756">
        <w:t xml:space="preserve">M; </w:t>
      </w:r>
      <w:r>
        <w:t xml:space="preserve"> </w:t>
      </w:r>
      <w:proofErr w:type="spellStart"/>
      <w:r>
        <w:t>Xia</w:t>
      </w:r>
      <w:r w:rsidR="00224756">
        <w:t>,P</w:t>
      </w:r>
      <w:proofErr w:type="spellEnd"/>
      <w:r w:rsidR="00224756">
        <w:t xml:space="preserve">; </w:t>
      </w:r>
      <w:r>
        <w:t>and</w:t>
      </w:r>
      <w:r w:rsidR="00224756">
        <w:t xml:space="preserve"> </w:t>
      </w:r>
      <w:r>
        <w:t xml:space="preserve">Liu, </w:t>
      </w:r>
      <w:r w:rsidR="00224756">
        <w:t xml:space="preserve">W; </w:t>
      </w:r>
      <w:r>
        <w:t xml:space="preserve">Clinical and radiological outcomes of the multilevel Ponte osteotomy with posterior selective segmental pedicle screw constructs to treat adolescent thoracic </w:t>
      </w:r>
      <w:r>
        <w:lastRenderedPageBreak/>
        <w:t xml:space="preserve">idiopathic scoliosis, Journal of </w:t>
      </w:r>
      <w:proofErr w:type="spellStart"/>
      <w:r>
        <w:t>Orthopaedic</w:t>
      </w:r>
      <w:proofErr w:type="spellEnd"/>
      <w:r>
        <w:t xml:space="preserve"> Surgery and Research (2018) 13:305 https://doi.org/10.1186/s13018-018-1001-0</w:t>
      </w:r>
    </w:p>
    <w:p w14:paraId="449F948C" w14:textId="77777777" w:rsidR="006B79AD" w:rsidRDefault="006B79AD"/>
    <w:p w14:paraId="7FC241ED" w14:textId="6FCA47EC" w:rsidR="006503C2" w:rsidRDefault="006503C2">
      <w:proofErr w:type="spellStart"/>
      <w:r w:rsidRPr="006503C2">
        <w:rPr>
          <w:lang w:val="fr-FR"/>
        </w:rPr>
        <w:t>Shaheen</w:t>
      </w:r>
      <w:proofErr w:type="spellEnd"/>
      <w:r w:rsidRPr="006503C2">
        <w:rPr>
          <w:lang w:val="fr-FR"/>
        </w:rPr>
        <w:t xml:space="preserve"> M, Koltsov JCB, Cohen SA, et al. </w:t>
      </w:r>
      <w:r>
        <w:t>Complication risks and costs associated with Ponte osteotomies in surgical treatment of adolescent idiopathic scoliosis: insights from a national database. Spine Deform. 2022;10(6):1339-</w:t>
      </w:r>
      <w:proofErr w:type="gramStart"/>
      <w:r>
        <w:t>1348</w:t>
      </w:r>
      <w:r w:rsidR="00E44C47">
        <w:t xml:space="preserve">  </w:t>
      </w:r>
      <w:proofErr w:type="spellStart"/>
      <w:r w:rsidR="00E44C47" w:rsidRPr="00E44C47">
        <w:t>doi</w:t>
      </w:r>
      <w:proofErr w:type="spellEnd"/>
      <w:proofErr w:type="gramEnd"/>
      <w:r w:rsidR="00E44C47" w:rsidRPr="00E44C47">
        <w:t>: 10.1007/s43390-022-00534-4.</w:t>
      </w:r>
    </w:p>
    <w:sectPr w:rsidR="006503C2">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C0025" w14:textId="77777777" w:rsidR="008C3724" w:rsidRDefault="008C3724" w:rsidP="00087C6E">
      <w:r>
        <w:separator/>
      </w:r>
    </w:p>
  </w:endnote>
  <w:endnote w:type="continuationSeparator" w:id="0">
    <w:p w14:paraId="66CD0748" w14:textId="77777777" w:rsidR="008C3724" w:rsidRDefault="008C3724" w:rsidP="00087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787766"/>
      <w:docPartObj>
        <w:docPartGallery w:val="Page Numbers (Bottom of Page)"/>
        <w:docPartUnique/>
      </w:docPartObj>
    </w:sdtPr>
    <w:sdtEndPr>
      <w:rPr>
        <w:noProof/>
      </w:rPr>
    </w:sdtEndPr>
    <w:sdtContent>
      <w:p w14:paraId="47AC3BEE" w14:textId="6D79D3BE" w:rsidR="00892D92" w:rsidRDefault="00892D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3D1CC0C" w14:textId="77777777" w:rsidR="00892D92" w:rsidRDefault="00892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C4C53" w14:textId="77777777" w:rsidR="008C3724" w:rsidRDefault="008C3724" w:rsidP="00087C6E">
      <w:r>
        <w:separator/>
      </w:r>
    </w:p>
  </w:footnote>
  <w:footnote w:type="continuationSeparator" w:id="0">
    <w:p w14:paraId="12486BFB" w14:textId="77777777" w:rsidR="008C3724" w:rsidRDefault="008C3724" w:rsidP="00087C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FC1DC7"/>
    <w:multiLevelType w:val="hybridMultilevel"/>
    <w:tmpl w:val="2DECFD02"/>
    <w:lvl w:ilvl="0" w:tplc="B79A3518">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F827B8"/>
    <w:multiLevelType w:val="hybridMultilevel"/>
    <w:tmpl w:val="E63E7038"/>
    <w:lvl w:ilvl="0" w:tplc="2BA6D272">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66EF3526"/>
    <w:multiLevelType w:val="hybridMultilevel"/>
    <w:tmpl w:val="72CA2F4A"/>
    <w:lvl w:ilvl="0" w:tplc="C082DCA6">
      <w:start w:val="3"/>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523044">
    <w:abstractNumId w:val="0"/>
  </w:num>
  <w:num w:numId="2" w16cid:durableId="1696927016">
    <w:abstractNumId w:val="2"/>
  </w:num>
  <w:num w:numId="3" w16cid:durableId="14685444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342"/>
    <w:rsid w:val="00004E31"/>
    <w:rsid w:val="000253FA"/>
    <w:rsid w:val="00087C6E"/>
    <w:rsid w:val="000D353D"/>
    <w:rsid w:val="000F41C3"/>
    <w:rsid w:val="001306BF"/>
    <w:rsid w:val="001550D0"/>
    <w:rsid w:val="00167FE7"/>
    <w:rsid w:val="0018642A"/>
    <w:rsid w:val="001938BC"/>
    <w:rsid w:val="001C4814"/>
    <w:rsid w:val="001D4F2F"/>
    <w:rsid w:val="00224756"/>
    <w:rsid w:val="002417A6"/>
    <w:rsid w:val="00244B3C"/>
    <w:rsid w:val="002735B7"/>
    <w:rsid w:val="002B0034"/>
    <w:rsid w:val="002B126F"/>
    <w:rsid w:val="00310E66"/>
    <w:rsid w:val="003927D3"/>
    <w:rsid w:val="004030FA"/>
    <w:rsid w:val="0040377E"/>
    <w:rsid w:val="00440C71"/>
    <w:rsid w:val="00445342"/>
    <w:rsid w:val="004553E1"/>
    <w:rsid w:val="00496D33"/>
    <w:rsid w:val="004D6A2D"/>
    <w:rsid w:val="004E0C2B"/>
    <w:rsid w:val="0050602F"/>
    <w:rsid w:val="0050745B"/>
    <w:rsid w:val="00527924"/>
    <w:rsid w:val="0053224C"/>
    <w:rsid w:val="00542A8E"/>
    <w:rsid w:val="005609AC"/>
    <w:rsid w:val="005638DC"/>
    <w:rsid w:val="00596448"/>
    <w:rsid w:val="005A2456"/>
    <w:rsid w:val="005C3103"/>
    <w:rsid w:val="006323CF"/>
    <w:rsid w:val="006503C2"/>
    <w:rsid w:val="006B715D"/>
    <w:rsid w:val="006B7511"/>
    <w:rsid w:val="006B79AD"/>
    <w:rsid w:val="006C4E3A"/>
    <w:rsid w:val="006C6BAC"/>
    <w:rsid w:val="006C7693"/>
    <w:rsid w:val="006D590B"/>
    <w:rsid w:val="006F64E2"/>
    <w:rsid w:val="00712ED0"/>
    <w:rsid w:val="007340AF"/>
    <w:rsid w:val="007E4F80"/>
    <w:rsid w:val="007F4854"/>
    <w:rsid w:val="00822443"/>
    <w:rsid w:val="008422AB"/>
    <w:rsid w:val="00853A56"/>
    <w:rsid w:val="00871EEA"/>
    <w:rsid w:val="00892D92"/>
    <w:rsid w:val="008C3724"/>
    <w:rsid w:val="0090655A"/>
    <w:rsid w:val="009403D9"/>
    <w:rsid w:val="00976239"/>
    <w:rsid w:val="00993624"/>
    <w:rsid w:val="009A1C58"/>
    <w:rsid w:val="00A154A9"/>
    <w:rsid w:val="00A201A4"/>
    <w:rsid w:val="00A85352"/>
    <w:rsid w:val="00AF06B9"/>
    <w:rsid w:val="00B34AEA"/>
    <w:rsid w:val="00B461DF"/>
    <w:rsid w:val="00B477A8"/>
    <w:rsid w:val="00B7219C"/>
    <w:rsid w:val="00B723E6"/>
    <w:rsid w:val="00B7534B"/>
    <w:rsid w:val="00B77E01"/>
    <w:rsid w:val="00B83F2F"/>
    <w:rsid w:val="00BF0E49"/>
    <w:rsid w:val="00C06523"/>
    <w:rsid w:val="00C13D21"/>
    <w:rsid w:val="00C82675"/>
    <w:rsid w:val="00CA57CA"/>
    <w:rsid w:val="00CB7245"/>
    <w:rsid w:val="00CC240F"/>
    <w:rsid w:val="00D1141F"/>
    <w:rsid w:val="00D35438"/>
    <w:rsid w:val="00D47E2E"/>
    <w:rsid w:val="00D62622"/>
    <w:rsid w:val="00D80741"/>
    <w:rsid w:val="00DA7DD9"/>
    <w:rsid w:val="00DD02EA"/>
    <w:rsid w:val="00DD2158"/>
    <w:rsid w:val="00DE29A4"/>
    <w:rsid w:val="00E26002"/>
    <w:rsid w:val="00E30E9C"/>
    <w:rsid w:val="00E44C47"/>
    <w:rsid w:val="00E62791"/>
    <w:rsid w:val="00E6697B"/>
    <w:rsid w:val="00E976D1"/>
    <w:rsid w:val="00ED31C8"/>
    <w:rsid w:val="00F14BD7"/>
    <w:rsid w:val="00F2354A"/>
    <w:rsid w:val="00F255DD"/>
    <w:rsid w:val="00F300F5"/>
    <w:rsid w:val="00FC1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0EE8B"/>
  <w15:chartTrackingRefBased/>
  <w15:docId w15:val="{2A50610F-A6AF-4D8B-B848-D5FF52FBA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US"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342"/>
    <w:pPr>
      <w:spacing w:after="0" w:line="240"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7C6E"/>
    <w:pPr>
      <w:tabs>
        <w:tab w:val="center" w:pos="4680"/>
        <w:tab w:val="right" w:pos="9360"/>
      </w:tabs>
    </w:pPr>
  </w:style>
  <w:style w:type="character" w:customStyle="1" w:styleId="HeaderChar">
    <w:name w:val="Header Char"/>
    <w:basedOn w:val="DefaultParagraphFont"/>
    <w:link w:val="Header"/>
    <w:uiPriority w:val="99"/>
    <w:rsid w:val="00087C6E"/>
    <w:rPr>
      <w:kern w:val="0"/>
      <w14:ligatures w14:val="none"/>
    </w:rPr>
  </w:style>
  <w:style w:type="paragraph" w:styleId="Footer">
    <w:name w:val="footer"/>
    <w:basedOn w:val="Normal"/>
    <w:link w:val="FooterChar"/>
    <w:uiPriority w:val="99"/>
    <w:unhideWhenUsed/>
    <w:rsid w:val="00087C6E"/>
    <w:pPr>
      <w:tabs>
        <w:tab w:val="center" w:pos="4680"/>
        <w:tab w:val="right" w:pos="9360"/>
      </w:tabs>
    </w:pPr>
  </w:style>
  <w:style w:type="character" w:customStyle="1" w:styleId="FooterChar">
    <w:name w:val="Footer Char"/>
    <w:basedOn w:val="DefaultParagraphFont"/>
    <w:link w:val="Footer"/>
    <w:uiPriority w:val="99"/>
    <w:rsid w:val="00087C6E"/>
    <w:rPr>
      <w:kern w:val="0"/>
      <w14:ligatures w14:val="none"/>
    </w:rPr>
  </w:style>
  <w:style w:type="character" w:styleId="Hyperlink">
    <w:name w:val="Hyperlink"/>
    <w:basedOn w:val="DefaultParagraphFont"/>
    <w:uiPriority w:val="99"/>
    <w:unhideWhenUsed/>
    <w:rsid w:val="00087C6E"/>
    <w:rPr>
      <w:color w:val="0563C1" w:themeColor="hyperlink"/>
      <w:u w:val="single"/>
    </w:rPr>
  </w:style>
  <w:style w:type="character" w:styleId="UnresolvedMention">
    <w:name w:val="Unresolved Mention"/>
    <w:basedOn w:val="DefaultParagraphFont"/>
    <w:uiPriority w:val="99"/>
    <w:semiHidden/>
    <w:unhideWhenUsed/>
    <w:rsid w:val="00087C6E"/>
    <w:rPr>
      <w:color w:val="605E5C"/>
      <w:shd w:val="clear" w:color="auto" w:fill="E1DFDD"/>
    </w:rPr>
  </w:style>
  <w:style w:type="table" w:styleId="TableGrid">
    <w:name w:val="Table Grid"/>
    <w:basedOn w:val="TableNormal"/>
    <w:uiPriority w:val="39"/>
    <w:rsid w:val="00842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85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596950">
      <w:bodyDiv w:val="1"/>
      <w:marLeft w:val="0"/>
      <w:marRight w:val="0"/>
      <w:marTop w:val="0"/>
      <w:marBottom w:val="0"/>
      <w:divBdr>
        <w:top w:val="none" w:sz="0" w:space="0" w:color="auto"/>
        <w:left w:val="none" w:sz="0" w:space="0" w:color="auto"/>
        <w:bottom w:val="none" w:sz="0" w:space="0" w:color="auto"/>
        <w:right w:val="none" w:sz="0" w:space="0" w:color="auto"/>
      </w:divBdr>
    </w:div>
    <w:div w:id="783497136">
      <w:bodyDiv w:val="1"/>
      <w:marLeft w:val="0"/>
      <w:marRight w:val="0"/>
      <w:marTop w:val="0"/>
      <w:marBottom w:val="0"/>
      <w:divBdr>
        <w:top w:val="none" w:sz="0" w:space="0" w:color="auto"/>
        <w:left w:val="none" w:sz="0" w:space="0" w:color="auto"/>
        <w:bottom w:val="none" w:sz="0" w:space="0" w:color="auto"/>
        <w:right w:val="none" w:sz="0" w:space="0" w:color="auto"/>
      </w:divBdr>
    </w:div>
    <w:div w:id="996764919">
      <w:bodyDiv w:val="1"/>
      <w:marLeft w:val="0"/>
      <w:marRight w:val="0"/>
      <w:marTop w:val="0"/>
      <w:marBottom w:val="0"/>
      <w:divBdr>
        <w:top w:val="none" w:sz="0" w:space="0" w:color="auto"/>
        <w:left w:val="none" w:sz="0" w:space="0" w:color="auto"/>
        <w:bottom w:val="none" w:sz="0" w:space="0" w:color="auto"/>
        <w:right w:val="none" w:sz="0" w:space="0" w:color="auto"/>
      </w:divBdr>
    </w:div>
    <w:div w:id="1064985042">
      <w:bodyDiv w:val="1"/>
      <w:marLeft w:val="0"/>
      <w:marRight w:val="0"/>
      <w:marTop w:val="0"/>
      <w:marBottom w:val="0"/>
      <w:divBdr>
        <w:top w:val="none" w:sz="0" w:space="0" w:color="auto"/>
        <w:left w:val="none" w:sz="0" w:space="0" w:color="auto"/>
        <w:bottom w:val="none" w:sz="0" w:space="0" w:color="auto"/>
        <w:right w:val="none" w:sz="0" w:space="0" w:color="auto"/>
      </w:divBdr>
    </w:div>
    <w:div w:id="1261186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topics/medicine-and-dentistry/kyphosis" TargetMode="External"/><Relationship Id="rId13" Type="http://schemas.openxmlformats.org/officeDocument/2006/relationships/hyperlink" Target="https://doi.org/10.1016/j.jspd.2015.03.002" TargetMode="External"/><Relationship Id="rId3" Type="http://schemas.openxmlformats.org/officeDocument/2006/relationships/settings" Target="settings.xml"/><Relationship Id="rId7" Type="http://schemas.openxmlformats.org/officeDocument/2006/relationships/hyperlink" Target="mailto:MedicarePhysicianFeeSchedule@cms.hhs.gov" TargetMode="External"/><Relationship Id="rId12" Type="http://schemas.openxmlformats.org/officeDocument/2006/relationships/hyperlink" Target="https://doi.org/10.1097/BSD.0b013e318241e3c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jspd.2017.06.006"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rhaynes@tpshealth.com" TargetMode="External"/><Relationship Id="rId4" Type="http://schemas.openxmlformats.org/officeDocument/2006/relationships/webSettings" Target="webSettings.xml"/><Relationship Id="rId9" Type="http://schemas.openxmlformats.org/officeDocument/2006/relationships/hyperlink" Target="mailto:mickch@aol.com" TargetMode="External"/><Relationship Id="rId14" Type="http://schemas.openxmlformats.org/officeDocument/2006/relationships/hyperlink" Target="https://doi.org/10.1097/BSD.%200b013e3181c29d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6</Pages>
  <Words>1999</Words>
  <Characters>11400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Mick, MD</dc:creator>
  <cp:keywords/>
  <dc:description/>
  <cp:lastModifiedBy>Charles Mick, MD</cp:lastModifiedBy>
  <cp:revision>14</cp:revision>
  <cp:lastPrinted>2024-01-14T12:39:00Z</cp:lastPrinted>
  <dcterms:created xsi:type="dcterms:W3CDTF">2024-01-14T02:32:00Z</dcterms:created>
  <dcterms:modified xsi:type="dcterms:W3CDTF">2024-01-16T15:30:00Z</dcterms:modified>
</cp:coreProperties>
</file>